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b/>
          <w:b/>
          <w:caps/>
          <w:sz w:val="22"/>
          <w:szCs w:val="22"/>
        </w:rPr>
      </w:pPr>
      <w:r>
        <w:rPr>
          <w:b/>
          <w:caps/>
          <w:sz w:val="22"/>
          <w:szCs w:val="22"/>
        </w:rPr>
        <w:t>HANKELEPINGU PROJEKT</w:t>
      </w:r>
    </w:p>
    <w:p>
      <w:pPr>
        <w:pStyle w:val="Normal"/>
        <w:spacing w:before="0" w:after="60"/>
        <w:jc w:val="both"/>
        <w:rPr>
          <w:sz w:val="22"/>
          <w:szCs w:val="22"/>
        </w:rPr>
      </w:pPr>
      <w:r>
        <w:rPr>
          <w:sz w:val="22"/>
          <w:szCs w:val="22"/>
        </w:rPr>
      </w:r>
    </w:p>
    <w:p>
      <w:pPr>
        <w:pStyle w:val="Normal"/>
        <w:tabs>
          <w:tab w:val="left" w:pos="707" w:leader="none"/>
          <w:tab w:val="left" w:pos="1414" w:leader="none"/>
          <w:tab w:val="left" w:pos="2122" w:leader="none"/>
          <w:tab w:val="left" w:pos="2830" w:leader="none"/>
          <w:tab w:val="left" w:pos="3538" w:leader="none"/>
          <w:tab w:val="left" w:pos="4246" w:leader="none"/>
          <w:tab w:val="left" w:pos="4954" w:leader="none"/>
          <w:tab w:val="left" w:pos="5662" w:leader="none"/>
          <w:tab w:val="left" w:pos="6370" w:leader="none"/>
        </w:tabs>
        <w:ind w:left="704" w:right="-226" w:hanging="704"/>
        <w:jc w:val="both"/>
        <w:rPr/>
      </w:pPr>
      <w:r>
        <w:rPr/>
        <w:t>Hankija:</w:t>
        <w:tab/>
        <w:t>Antsla Vallavalitsus</w:t>
      </w:r>
    </w:p>
    <w:p>
      <w:pPr>
        <w:pStyle w:val="Normal"/>
        <w:jc w:val="both"/>
        <w:rPr/>
      </w:pPr>
      <w:r>
        <w:rPr/>
      </w:r>
    </w:p>
    <w:p>
      <w:pPr>
        <w:pStyle w:val="Normal"/>
        <w:tabs>
          <w:tab w:val="left" w:pos="360" w:leader="none"/>
          <w:tab w:val="left" w:pos="1414" w:leader="none"/>
          <w:tab w:val="left" w:pos="2122" w:leader="none"/>
          <w:tab w:val="left" w:pos="2830" w:leader="none"/>
          <w:tab w:val="left" w:pos="3538" w:leader="none"/>
          <w:tab w:val="left" w:pos="4246" w:leader="none"/>
          <w:tab w:val="left" w:pos="4954" w:leader="none"/>
          <w:tab w:val="left" w:pos="5662" w:leader="none"/>
          <w:tab w:val="left" w:pos="6370" w:leader="none"/>
        </w:tabs>
        <w:ind w:right="-226" w:hanging="0"/>
        <w:jc w:val="both"/>
        <w:rPr/>
      </w:pPr>
      <w:r>
        <w:rPr/>
        <w:t>Hanke nimetus: Antsla esmatasandi tervisekeskuse ehitustööde omanikujärelevalve teenus</w:t>
      </w:r>
    </w:p>
    <w:p>
      <w:pPr>
        <w:pStyle w:val="NoSpacing"/>
        <w:rPr>
          <w:rFonts w:ascii="Times New Roman" w:hAnsi="Times New Roman" w:cs="Times New Roman"/>
          <w:b/>
          <w:b/>
        </w:rPr>
      </w:pPr>
      <w:r>
        <w:rPr>
          <w:rFonts w:cs="Times New Roman" w:ascii="Times New Roman" w:hAnsi="Times New Roman"/>
          <w:b/>
        </w:rPr>
      </w:r>
    </w:p>
    <w:p>
      <w:pPr>
        <w:pStyle w:val="NoSpacing"/>
        <w:rPr>
          <w:rFonts w:ascii="Times New Roman" w:hAnsi="Times New Roman" w:cs="Times New Roman"/>
        </w:rPr>
      </w:pPr>
      <w:r>
        <w:rPr>
          <w:rFonts w:cs="Times New Roman" w:ascii="Times New Roman" w:hAnsi="Times New Roman"/>
          <w:b/>
        </w:rPr>
        <w:t>EHITUSE OMANIKUJÄRELEVALVE KÄSUNDUSLEPING nr</w:t>
      </w:r>
      <w:r>
        <w:rPr>
          <w:rFonts w:cs="Times New Roman" w:ascii="Times New Roman" w:hAnsi="Times New Roman"/>
        </w:rPr>
        <w:t xml:space="preserve"> _____________</w:t>
      </w:r>
    </w:p>
    <w:p>
      <w:pPr>
        <w:pStyle w:val="NoSpacing"/>
        <w:rPr>
          <w:rFonts w:ascii="Times New Roman" w:hAnsi="Times New Roman" w:cs="Times New Roman"/>
        </w:rPr>
      </w:pPr>
      <w:r>
        <w:rPr>
          <w:rFonts w:cs="Times New Roman" w:ascii="Times New Roman" w:hAnsi="Times New Roman"/>
        </w:rPr>
      </w:r>
    </w:p>
    <w:p>
      <w:pPr>
        <w:pStyle w:val="ListParagraph"/>
        <w:numPr>
          <w:ilvl w:val="0"/>
          <w:numId w:val="4"/>
        </w:numPr>
        <w:ind w:left="284" w:right="-1" w:hanging="284"/>
        <w:rPr>
          <w:b/>
          <w:b/>
          <w:bCs/>
          <w:sz w:val="22"/>
          <w:szCs w:val="22"/>
        </w:rPr>
      </w:pPr>
      <w:r>
        <w:rPr>
          <w:b/>
          <w:bCs/>
          <w:sz w:val="22"/>
          <w:szCs w:val="22"/>
        </w:rPr>
        <w:t>LEPINGU POOLED</w:t>
      </w:r>
    </w:p>
    <w:p>
      <w:pPr>
        <w:pStyle w:val="Normal"/>
        <w:spacing w:before="0" w:after="60"/>
        <w:jc w:val="both"/>
        <w:rPr>
          <w:sz w:val="22"/>
          <w:szCs w:val="22"/>
        </w:rPr>
      </w:pPr>
      <w:r>
        <w:rPr>
          <w:sz w:val="22"/>
          <w:szCs w:val="22"/>
        </w:rPr>
        <w:t>………………………………</w:t>
      </w:r>
      <w:r>
        <w:rPr>
          <w:sz w:val="22"/>
          <w:szCs w:val="22"/>
        </w:rPr>
        <w:t>, registrikood ……………….., asukoht ………………, mida esindab …………………….</w:t>
      </w:r>
    </w:p>
    <w:p>
      <w:pPr>
        <w:pStyle w:val="Normal"/>
        <w:spacing w:before="0" w:after="60"/>
        <w:jc w:val="both"/>
        <w:rPr>
          <w:sz w:val="22"/>
          <w:szCs w:val="22"/>
        </w:rPr>
      </w:pPr>
      <w:r>
        <w:rPr>
          <w:sz w:val="22"/>
          <w:szCs w:val="22"/>
        </w:rPr>
        <w:t>ja</w:t>
      </w:r>
    </w:p>
    <w:p>
      <w:pPr>
        <w:pStyle w:val="Normal"/>
        <w:spacing w:before="0" w:after="60"/>
        <w:jc w:val="both"/>
        <w:rPr/>
      </w:pPr>
      <w:r>
        <w:rPr>
          <w:sz w:val="22"/>
          <w:szCs w:val="22"/>
        </w:rPr>
        <w:t xml:space="preserve">____________________, registrikood _______________, asukoht ___________________ (edaspidi </w:t>
      </w:r>
      <w:r>
        <w:rPr>
          <w:b/>
          <w:sz w:val="22"/>
          <w:szCs w:val="22"/>
        </w:rPr>
        <w:t>Käsundisaaja</w:t>
      </w:r>
      <w:r>
        <w:rPr>
          <w:sz w:val="22"/>
          <w:szCs w:val="22"/>
        </w:rPr>
        <w:t xml:space="preserve">), keda esindab </w:t>
      </w:r>
      <w:r>
        <w:fldChar w:fldCharType="begin"/>
      </w:r>
      <w:r>
        <w:rPr/>
        <w:instrText>MACROBUTTONAcceptAllChangesInDoc põhikirja</w:instrText>
      </w:r>
      <w:r>
        <w:rPr/>
        <w:fldChar w:fldCharType="separate"/>
      </w:r>
      <w:bookmarkStart w:id="0" w:name="__Fieldmark__1954_1011547222"/>
      <w:r>
        <w:rPr/>
      </w:r>
      <w:r>
        <w:rPr>
          <w:sz w:val="22"/>
          <w:szCs w:val="22"/>
        </w:rPr>
        <w:t xml:space="preserve">põhikirja </w:t>
      </w:r>
      <w:r>
        <w:rPr/>
      </w:r>
      <w:r>
        <w:rPr/>
        <w:fldChar w:fldCharType="end"/>
      </w:r>
      <w:bookmarkEnd w:id="0"/>
      <w:r>
        <w:rPr>
          <w:sz w:val="22"/>
          <w:szCs w:val="22"/>
        </w:rPr>
        <w:t xml:space="preserve">/ </w:t>
      </w:r>
      <w:r>
        <w:fldChar w:fldCharType="begin"/>
      </w:r>
      <w:r>
        <w:rPr/>
        <w:instrText>MACROBUTTONAcceptAllChangesInDoc volikirja</w:instrText>
      </w:r>
      <w:r>
        <w:rPr/>
        <w:fldChar w:fldCharType="separate"/>
      </w:r>
      <w:bookmarkStart w:id="1" w:name="__Fieldmark__1959_1011547222"/>
      <w:r>
        <w:rPr/>
      </w:r>
      <w:r>
        <w:rPr>
          <w:sz w:val="22"/>
          <w:szCs w:val="22"/>
        </w:rPr>
        <w:t xml:space="preserve">volikirja </w:t>
      </w:r>
      <w:r>
        <w:rPr/>
      </w:r>
      <w:r>
        <w:rPr/>
        <w:fldChar w:fldCharType="end"/>
      </w:r>
      <w:bookmarkEnd w:id="1"/>
      <w:r>
        <w:rPr>
          <w:sz w:val="22"/>
          <w:szCs w:val="22"/>
        </w:rPr>
        <w:t>alusel _________________ (</w:t>
      </w:r>
      <w:r>
        <w:rPr>
          <w:rFonts w:cs="Calibri"/>
          <w:sz w:val="22"/>
          <w:szCs w:val="22"/>
        </w:rPr>
        <w:t>tel ___________, e-post: __________________</w:t>
      </w:r>
      <w:r>
        <w:rPr>
          <w:sz w:val="22"/>
          <w:szCs w:val="22"/>
        </w:rPr>
        <w:t>).</w:t>
      </w:r>
    </w:p>
    <w:p>
      <w:pPr>
        <w:pStyle w:val="Normal"/>
        <w:spacing w:before="0" w:after="60"/>
        <w:jc w:val="both"/>
        <w:rPr>
          <w:sz w:val="22"/>
          <w:szCs w:val="22"/>
        </w:rPr>
      </w:pPr>
      <w:r>
        <w:rPr>
          <w:sz w:val="22"/>
          <w:szCs w:val="22"/>
        </w:rPr>
        <w:t xml:space="preserve">Lepingupooli võib edaspidi tekstis nimetada ka </w:t>
      </w:r>
      <w:r>
        <w:rPr>
          <w:b/>
          <w:sz w:val="22"/>
          <w:szCs w:val="22"/>
        </w:rPr>
        <w:t>Pool</w:t>
      </w:r>
      <w:r>
        <w:rPr>
          <w:sz w:val="22"/>
          <w:szCs w:val="22"/>
        </w:rPr>
        <w:t xml:space="preserve"> või koos </w:t>
      </w:r>
      <w:r>
        <w:rPr>
          <w:b/>
          <w:sz w:val="22"/>
          <w:szCs w:val="22"/>
        </w:rPr>
        <w:t>Pooled</w:t>
      </w:r>
      <w:r>
        <w:rPr>
          <w:sz w:val="22"/>
          <w:szCs w:val="22"/>
        </w:rPr>
        <w:t>.</w:t>
      </w:r>
    </w:p>
    <w:p>
      <w:pPr>
        <w:pStyle w:val="Normal"/>
        <w:ind w:right="-1" w:hanging="0"/>
        <w:rPr>
          <w:sz w:val="22"/>
          <w:szCs w:val="22"/>
        </w:rPr>
      </w:pPr>
      <w:r>
        <w:rPr>
          <w:sz w:val="22"/>
          <w:szCs w:val="22"/>
        </w:rPr>
      </w:r>
    </w:p>
    <w:p>
      <w:pPr>
        <w:pStyle w:val="ListParagraph"/>
        <w:numPr>
          <w:ilvl w:val="0"/>
          <w:numId w:val="4"/>
        </w:numPr>
        <w:ind w:left="284" w:right="-1" w:hanging="284"/>
        <w:rPr>
          <w:b/>
          <w:b/>
          <w:bCs/>
          <w:sz w:val="22"/>
          <w:szCs w:val="22"/>
        </w:rPr>
      </w:pPr>
      <w:r>
        <w:rPr>
          <w:b/>
          <w:bCs/>
          <w:sz w:val="22"/>
          <w:szCs w:val="22"/>
        </w:rPr>
        <w:t>LEPINGU ERITINGIMUSED</w:t>
      </w:r>
    </w:p>
    <w:tbl>
      <w:tblPr>
        <w:tblStyle w:val="Kontuurtabel"/>
        <w:tblW w:w="9438" w:type="dxa"/>
        <w:jc w:val="left"/>
        <w:tblInd w:w="0" w:type="dxa"/>
        <w:tblCellMar>
          <w:top w:w="0" w:type="dxa"/>
          <w:left w:w="113" w:type="dxa"/>
          <w:bottom w:w="0" w:type="dxa"/>
          <w:right w:w="108" w:type="dxa"/>
        </w:tblCellMar>
        <w:tblLook w:firstRow="1" w:noVBand="1" w:lastRow="0" w:firstColumn="1" w:lastColumn="0" w:noHBand="0" w:val="04a0"/>
      </w:tblPr>
      <w:tblGrid>
        <w:gridCol w:w="3053"/>
        <w:gridCol w:w="6384"/>
      </w:tblGrid>
      <w:tr>
        <w:trPr/>
        <w:tc>
          <w:tcPr>
            <w:tcW w:w="3053" w:type="dxa"/>
            <w:tcBorders>
              <w:top w:val="nil"/>
              <w:left w:val="nil"/>
              <w:bottom w:val="nil"/>
              <w:right w:val="nil"/>
              <w:insideH w:val="nil"/>
              <w:insideV w:val="nil"/>
            </w:tcBorders>
            <w:shd w:fill="auto" w:val="clear"/>
          </w:tcPr>
          <w:p>
            <w:pPr>
              <w:pStyle w:val="ListParagraph"/>
              <w:numPr>
                <w:ilvl w:val="1"/>
                <w:numId w:val="4"/>
              </w:numPr>
              <w:suppressAutoHyphens w:val="true"/>
              <w:ind w:left="426" w:right="-1" w:hanging="426"/>
              <w:jc w:val="both"/>
              <w:rPr>
                <w:sz w:val="22"/>
                <w:szCs w:val="22"/>
              </w:rPr>
            </w:pPr>
            <w:r>
              <w:rPr>
                <w:sz w:val="22"/>
                <w:szCs w:val="22"/>
              </w:rPr>
              <w:t>Lepingu sõlmimise aeg:</w:t>
            </w:r>
          </w:p>
          <w:p>
            <w:pPr>
              <w:pStyle w:val="Normal"/>
              <w:suppressAutoHyphens w:val="true"/>
              <w:ind w:right="-1" w:hanging="0"/>
              <w:jc w:val="both"/>
              <w:rPr>
                <w:sz w:val="22"/>
                <w:szCs w:val="22"/>
              </w:rPr>
            </w:pPr>
            <w:r>
              <w:rPr>
                <w:sz w:val="22"/>
                <w:szCs w:val="22"/>
              </w:rPr>
            </w:r>
          </w:p>
          <w:p>
            <w:pPr>
              <w:pStyle w:val="Normal"/>
              <w:suppressAutoHyphens w:val="true"/>
              <w:ind w:right="-1" w:hanging="0"/>
              <w:jc w:val="both"/>
              <w:rPr>
                <w:sz w:val="22"/>
                <w:szCs w:val="22"/>
              </w:rPr>
            </w:pPr>
            <w:r>
              <w:rPr>
                <w:sz w:val="22"/>
                <w:szCs w:val="22"/>
              </w:rPr>
            </w:r>
          </w:p>
          <w:p>
            <w:pPr>
              <w:pStyle w:val="ListParagraph"/>
              <w:numPr>
                <w:ilvl w:val="1"/>
                <w:numId w:val="4"/>
              </w:numPr>
              <w:suppressAutoHyphens w:val="true"/>
              <w:ind w:left="426" w:right="-1" w:hanging="444"/>
              <w:jc w:val="both"/>
              <w:rPr>
                <w:sz w:val="22"/>
                <w:szCs w:val="22"/>
              </w:rPr>
            </w:pPr>
            <w:r>
              <w:rPr>
                <w:sz w:val="22"/>
                <w:szCs w:val="22"/>
              </w:rPr>
              <w:t>Käsundiandja eesmärk:</w:t>
            </w:r>
          </w:p>
          <w:p>
            <w:pPr>
              <w:pStyle w:val="Normal"/>
              <w:suppressAutoHyphens w:val="true"/>
              <w:ind w:right="-1" w:hanging="0"/>
              <w:jc w:val="both"/>
              <w:rPr>
                <w:sz w:val="22"/>
                <w:szCs w:val="22"/>
              </w:rPr>
            </w:pPr>
            <w:r>
              <w:rPr>
                <w:sz w:val="22"/>
                <w:szCs w:val="22"/>
              </w:rPr>
            </w:r>
          </w:p>
          <w:p>
            <w:pPr>
              <w:pStyle w:val="Normal"/>
              <w:suppressAutoHyphens w:val="true"/>
              <w:ind w:right="-1" w:hanging="0"/>
              <w:jc w:val="both"/>
              <w:rPr>
                <w:sz w:val="22"/>
                <w:szCs w:val="22"/>
              </w:rPr>
            </w:pPr>
            <w:r>
              <w:rPr>
                <w:sz w:val="22"/>
                <w:szCs w:val="22"/>
              </w:rPr>
            </w:r>
          </w:p>
          <w:p>
            <w:pPr>
              <w:pStyle w:val="Normal"/>
              <w:suppressAutoHyphens w:val="true"/>
              <w:ind w:right="-1" w:hanging="0"/>
              <w:jc w:val="both"/>
              <w:rPr>
                <w:sz w:val="22"/>
                <w:szCs w:val="22"/>
              </w:rPr>
            </w:pPr>
            <w:r>
              <w:rPr>
                <w:sz w:val="22"/>
                <w:szCs w:val="22"/>
              </w:rPr>
            </w:r>
          </w:p>
          <w:p>
            <w:pPr>
              <w:pStyle w:val="Normal"/>
              <w:suppressAutoHyphens w:val="true"/>
              <w:ind w:right="-1" w:hanging="0"/>
              <w:jc w:val="both"/>
              <w:rPr>
                <w:sz w:val="22"/>
                <w:szCs w:val="22"/>
              </w:rPr>
            </w:pPr>
            <w:r>
              <w:rPr>
                <w:sz w:val="22"/>
                <w:szCs w:val="22"/>
              </w:rPr>
            </w:r>
          </w:p>
          <w:p>
            <w:pPr>
              <w:pStyle w:val="Normal"/>
              <w:suppressAutoHyphens w:val="true"/>
              <w:ind w:right="-1" w:hanging="0"/>
              <w:jc w:val="both"/>
              <w:rPr>
                <w:sz w:val="22"/>
                <w:szCs w:val="22"/>
              </w:rPr>
            </w:pPr>
            <w:r>
              <w:rPr>
                <w:sz w:val="22"/>
                <w:szCs w:val="22"/>
              </w:rPr>
            </w:r>
          </w:p>
          <w:p>
            <w:pPr>
              <w:pStyle w:val="Normal"/>
              <w:suppressAutoHyphens w:val="true"/>
              <w:ind w:right="-1" w:hanging="0"/>
              <w:jc w:val="both"/>
              <w:rPr>
                <w:sz w:val="22"/>
                <w:szCs w:val="22"/>
              </w:rPr>
            </w:pPr>
            <w:r>
              <w:rPr>
                <w:sz w:val="22"/>
                <w:szCs w:val="22"/>
              </w:rPr>
            </w:r>
          </w:p>
          <w:p>
            <w:pPr>
              <w:pStyle w:val="Normal"/>
              <w:suppressAutoHyphens w:val="true"/>
              <w:ind w:right="-1" w:hanging="0"/>
              <w:jc w:val="both"/>
              <w:rPr>
                <w:sz w:val="22"/>
                <w:szCs w:val="22"/>
              </w:rPr>
            </w:pPr>
            <w:r>
              <w:rPr>
                <w:sz w:val="22"/>
                <w:szCs w:val="22"/>
              </w:rPr>
            </w:r>
          </w:p>
          <w:p>
            <w:pPr>
              <w:pStyle w:val="Normal"/>
              <w:suppressAutoHyphens w:val="true"/>
              <w:ind w:right="-1" w:hanging="0"/>
              <w:jc w:val="both"/>
              <w:rPr>
                <w:sz w:val="22"/>
                <w:szCs w:val="22"/>
              </w:rPr>
            </w:pPr>
            <w:r>
              <w:rPr>
                <w:sz w:val="22"/>
                <w:szCs w:val="22"/>
              </w:rPr>
            </w:r>
          </w:p>
          <w:p>
            <w:pPr>
              <w:pStyle w:val="Normal"/>
              <w:suppressAutoHyphens w:val="true"/>
              <w:ind w:right="-1" w:hanging="0"/>
              <w:jc w:val="both"/>
              <w:rPr>
                <w:sz w:val="22"/>
                <w:szCs w:val="22"/>
              </w:rPr>
            </w:pPr>
            <w:r>
              <w:rPr>
                <w:sz w:val="22"/>
                <w:szCs w:val="22"/>
              </w:rPr>
            </w:r>
          </w:p>
          <w:p>
            <w:pPr>
              <w:pStyle w:val="ListParagraph"/>
              <w:numPr>
                <w:ilvl w:val="1"/>
                <w:numId w:val="4"/>
              </w:numPr>
              <w:suppressAutoHyphens w:val="true"/>
              <w:ind w:left="426" w:right="-1" w:hanging="426"/>
              <w:jc w:val="both"/>
              <w:rPr>
                <w:sz w:val="22"/>
                <w:szCs w:val="22"/>
              </w:rPr>
            </w:pPr>
            <w:r>
              <w:rPr>
                <w:sz w:val="22"/>
                <w:szCs w:val="22"/>
              </w:rPr>
              <w:t>Lepingu ese:</w:t>
            </w:r>
          </w:p>
        </w:tc>
        <w:tc>
          <w:tcPr>
            <w:tcW w:w="6384" w:type="dxa"/>
            <w:tcBorders>
              <w:top w:val="nil"/>
              <w:left w:val="nil"/>
              <w:bottom w:val="nil"/>
              <w:right w:val="nil"/>
              <w:insideH w:val="nil"/>
              <w:insideV w:val="nil"/>
            </w:tcBorders>
            <w:shd w:fill="auto" w:val="clear"/>
          </w:tcPr>
          <w:p>
            <w:pPr>
              <w:pStyle w:val="Normal"/>
              <w:suppressAutoHyphens w:val="true"/>
              <w:ind w:right="-1" w:hanging="0"/>
              <w:jc w:val="both"/>
              <w:rPr>
                <w:sz w:val="22"/>
                <w:szCs w:val="22"/>
              </w:rPr>
            </w:pPr>
            <w:r>
              <w:rPr>
                <w:sz w:val="22"/>
                <w:szCs w:val="22"/>
              </w:rPr>
              <w:t>Leping on allkirjastatud digitaalselt, sõlmimise kuupäevaks on hilisema allkirja andmise kuupäev;</w:t>
            </w:r>
          </w:p>
          <w:p>
            <w:pPr>
              <w:pStyle w:val="Normal"/>
              <w:suppressAutoHyphens w:val="true"/>
              <w:ind w:right="-1" w:hanging="0"/>
              <w:jc w:val="both"/>
              <w:rPr>
                <w:sz w:val="22"/>
                <w:szCs w:val="22"/>
              </w:rPr>
            </w:pPr>
            <w:r>
              <w:rPr>
                <w:sz w:val="22"/>
                <w:szCs w:val="22"/>
              </w:rPr>
            </w:r>
          </w:p>
          <w:p>
            <w:pPr>
              <w:pStyle w:val="Normal"/>
              <w:suppressAutoHyphens w:val="true"/>
              <w:spacing w:before="0" w:after="120"/>
              <w:jc w:val="both"/>
              <w:rPr>
                <w:sz w:val="22"/>
                <w:szCs w:val="22"/>
              </w:rPr>
            </w:pPr>
            <w:r>
              <w:rPr>
                <w:sz w:val="22"/>
                <w:szCs w:val="22"/>
              </w:rPr>
              <w:t>Käsundiandja eesmärgiks on hiljemalt Käsundiandja ja Töövõtja vahel …………. riigihanke „Antsla esmatasandi tervisekeskuse ehitustööd</w:t>
            </w:r>
            <w:r>
              <w:rPr>
                <w:rFonts w:eastAsia="Calibri" w:eastAsiaTheme="minorHAnsi"/>
                <w:bCs/>
                <w:color w:val="000000"/>
                <w:sz w:val="22"/>
                <w:szCs w:val="22"/>
              </w:rPr>
              <w:t>“ (viitenumber 203473) tulemil sõlmitud EHITUSTÖÖDE TÖÖVÕTULEPING</w:t>
            </w:r>
            <w:r>
              <w:rPr>
                <w:sz w:val="22"/>
                <w:szCs w:val="22"/>
              </w:rPr>
              <w:t>US nr ….. nimetatud kuupäevaks saavutada kavandatud vahenditega ja võimalikult optimaalsete kuludega kvaliteetse ning kõikidele õigusaktidele vastava objekti valmimine;</w:t>
            </w:r>
          </w:p>
          <w:p>
            <w:pPr>
              <w:pStyle w:val="Normal"/>
              <w:suppressAutoHyphens w:val="true"/>
              <w:ind w:right="-1" w:hanging="0"/>
              <w:jc w:val="both"/>
              <w:rPr>
                <w:sz w:val="22"/>
                <w:szCs w:val="22"/>
              </w:rPr>
            </w:pPr>
            <w:r>
              <w:rPr>
                <w:sz w:val="22"/>
                <w:szCs w:val="22"/>
              </w:rPr>
            </w:r>
          </w:p>
          <w:p>
            <w:pPr>
              <w:pStyle w:val="Normal"/>
              <w:suppressAutoHyphens w:val="true"/>
              <w:ind w:right="-1" w:hanging="0"/>
              <w:jc w:val="both"/>
              <w:rPr>
                <w:sz w:val="22"/>
                <w:szCs w:val="22"/>
              </w:rPr>
            </w:pPr>
            <w:r>
              <w:rPr>
                <w:sz w:val="22"/>
                <w:szCs w:val="22"/>
              </w:rPr>
              <w:t xml:space="preserve">Lepingu esemeks on Käsundisaaja poolt omanikujärelevalve teenuse osutamine (edaspidi nimetatud ka </w:t>
            </w:r>
            <w:r>
              <w:rPr>
                <w:b/>
                <w:sz w:val="22"/>
                <w:szCs w:val="22"/>
              </w:rPr>
              <w:t>Teenus</w:t>
            </w:r>
            <w:r>
              <w:rPr>
                <w:sz w:val="22"/>
                <w:szCs w:val="22"/>
              </w:rPr>
              <w:t>). Käsundisaaja osutatava Teenuse ulatus ja kohustuste/ülesannete detailsem kirjeldus on sätestatud riigihanke tehnilises kirjelduses, mis on Lepingu lisaks 4. Lisaks Lepingus ja selle lisades sätestatud kohustustele kuulub ilma täiendava tasu maksmiseta Käsundisaaja kohustuste hulka ka nende ülesannete, tööde ja teenuste osutamine, mis ei ole Lepingu dokumentides otseselt toodud, kuid mille tegemine Käsundisaaja poolt oleks Käsundiandja eesmärgi saavutamiseks tavapäraselt vajalik.</w:t>
            </w:r>
          </w:p>
          <w:p>
            <w:pPr>
              <w:pStyle w:val="Normal"/>
              <w:suppressAutoHyphens w:val="true"/>
              <w:ind w:right="-1" w:hanging="0"/>
              <w:jc w:val="both"/>
              <w:rPr>
                <w:sz w:val="22"/>
                <w:szCs w:val="22"/>
              </w:rPr>
            </w:pPr>
            <w:r>
              <w:rPr>
                <w:sz w:val="22"/>
                <w:szCs w:val="22"/>
              </w:rPr>
            </w:r>
          </w:p>
        </w:tc>
      </w:tr>
      <w:tr>
        <w:trPr/>
        <w:tc>
          <w:tcPr>
            <w:tcW w:w="3053" w:type="dxa"/>
            <w:tcBorders>
              <w:top w:val="nil"/>
              <w:left w:val="nil"/>
              <w:bottom w:val="nil"/>
              <w:right w:val="nil"/>
              <w:insideH w:val="nil"/>
              <w:insideV w:val="nil"/>
            </w:tcBorders>
            <w:shd w:fill="auto" w:val="clear"/>
          </w:tcPr>
          <w:p>
            <w:pPr>
              <w:pStyle w:val="ListParagraph"/>
              <w:numPr>
                <w:ilvl w:val="1"/>
                <w:numId w:val="4"/>
              </w:numPr>
              <w:suppressAutoHyphens w:val="true"/>
              <w:ind w:left="426" w:right="-1" w:hanging="426"/>
              <w:jc w:val="both"/>
              <w:rPr>
                <w:sz w:val="22"/>
                <w:szCs w:val="22"/>
              </w:rPr>
            </w:pPr>
            <w:r>
              <w:rPr>
                <w:sz w:val="22"/>
                <w:szCs w:val="22"/>
              </w:rPr>
              <w:t>Omanikujärelevalve objekt:</w:t>
            </w:r>
          </w:p>
          <w:p>
            <w:pPr>
              <w:pStyle w:val="Normal"/>
              <w:suppressAutoHyphens w:val="true"/>
              <w:ind w:right="-1" w:hanging="0"/>
              <w:jc w:val="both"/>
              <w:rPr>
                <w:sz w:val="22"/>
                <w:szCs w:val="22"/>
              </w:rPr>
            </w:pPr>
            <w:r>
              <w:rPr>
                <w:sz w:val="22"/>
                <w:szCs w:val="22"/>
              </w:rPr>
            </w:r>
          </w:p>
        </w:tc>
        <w:tc>
          <w:tcPr>
            <w:tcW w:w="6384" w:type="dxa"/>
            <w:tcBorders>
              <w:top w:val="nil"/>
              <w:left w:val="nil"/>
              <w:bottom w:val="nil"/>
              <w:right w:val="nil"/>
              <w:insideH w:val="nil"/>
              <w:insideV w:val="nil"/>
            </w:tcBorders>
            <w:shd w:fill="auto" w:val="clear"/>
          </w:tcPr>
          <w:p>
            <w:pPr>
              <w:pStyle w:val="Normal"/>
              <w:suppressAutoHyphens w:val="true"/>
              <w:ind w:right="-1" w:hanging="0"/>
              <w:jc w:val="both"/>
              <w:rPr>
                <w:sz w:val="22"/>
                <w:szCs w:val="22"/>
              </w:rPr>
            </w:pPr>
            <w:r>
              <w:rPr>
                <w:sz w:val="22"/>
                <w:szCs w:val="22"/>
              </w:rPr>
              <w:t>Antsla linnas Kooli tee 12 Antsla esmatasandi tervisekeskus (edaspidi Objekt).</w:t>
            </w:r>
          </w:p>
          <w:p>
            <w:pPr>
              <w:pStyle w:val="Normal"/>
              <w:suppressAutoHyphens w:val="true"/>
              <w:ind w:right="-1" w:hanging="0"/>
              <w:jc w:val="both"/>
              <w:rPr>
                <w:sz w:val="22"/>
                <w:szCs w:val="22"/>
              </w:rPr>
            </w:pPr>
            <w:r>
              <w:rPr>
                <w:sz w:val="22"/>
                <w:szCs w:val="22"/>
              </w:rPr>
            </w:r>
          </w:p>
        </w:tc>
      </w:tr>
      <w:tr>
        <w:trPr/>
        <w:tc>
          <w:tcPr>
            <w:tcW w:w="3053" w:type="dxa"/>
            <w:tcBorders>
              <w:top w:val="nil"/>
              <w:left w:val="nil"/>
              <w:bottom w:val="nil"/>
              <w:right w:val="nil"/>
              <w:insideH w:val="nil"/>
              <w:insideV w:val="nil"/>
            </w:tcBorders>
            <w:shd w:fill="auto" w:val="clear"/>
          </w:tcPr>
          <w:p>
            <w:pPr>
              <w:pStyle w:val="ListParagraph"/>
              <w:numPr>
                <w:ilvl w:val="1"/>
                <w:numId w:val="4"/>
              </w:numPr>
              <w:suppressAutoHyphens w:val="true"/>
              <w:ind w:left="426" w:right="-1" w:hanging="426"/>
              <w:jc w:val="both"/>
              <w:rPr>
                <w:sz w:val="22"/>
                <w:szCs w:val="22"/>
              </w:rPr>
            </w:pPr>
            <w:r>
              <w:rPr>
                <w:sz w:val="22"/>
                <w:szCs w:val="22"/>
              </w:rPr>
              <w:t>Lepingu dokumendid:</w:t>
            </w:r>
          </w:p>
          <w:p>
            <w:pPr>
              <w:pStyle w:val="Normal"/>
              <w:suppressAutoHyphens w:val="true"/>
              <w:ind w:right="-1" w:hanging="0"/>
              <w:jc w:val="both"/>
              <w:rPr>
                <w:sz w:val="22"/>
                <w:szCs w:val="22"/>
              </w:rPr>
            </w:pPr>
            <w:r>
              <w:rPr>
                <w:sz w:val="22"/>
                <w:szCs w:val="22"/>
              </w:rPr>
            </w:r>
          </w:p>
        </w:tc>
        <w:tc>
          <w:tcPr>
            <w:tcW w:w="6384" w:type="dxa"/>
            <w:tcBorders>
              <w:top w:val="nil"/>
              <w:left w:val="nil"/>
              <w:bottom w:val="nil"/>
              <w:right w:val="nil"/>
              <w:insideH w:val="nil"/>
              <w:insideV w:val="nil"/>
            </w:tcBorders>
            <w:shd w:fill="auto" w:val="clear"/>
          </w:tcPr>
          <w:p>
            <w:pPr>
              <w:pStyle w:val="Normal"/>
              <w:suppressAutoHyphens w:val="true"/>
              <w:ind w:right="-1" w:hanging="0"/>
              <w:jc w:val="both"/>
              <w:rPr>
                <w:sz w:val="22"/>
                <w:szCs w:val="22"/>
              </w:rPr>
            </w:pPr>
            <w:r>
              <w:rPr>
                <w:sz w:val="22"/>
                <w:szCs w:val="22"/>
              </w:rPr>
              <w:t>Leping koosneb tähtsuse (prioriteetsuse) järjekorras järgnevatest dokumentidest:</w:t>
            </w:r>
          </w:p>
          <w:p>
            <w:pPr>
              <w:pStyle w:val="Normal"/>
              <w:suppressAutoHyphens w:val="true"/>
              <w:ind w:right="-1" w:hanging="0"/>
              <w:jc w:val="both"/>
              <w:rPr>
                <w:sz w:val="22"/>
                <w:szCs w:val="22"/>
              </w:rPr>
            </w:pPr>
            <w:r>
              <w:rPr>
                <w:sz w:val="22"/>
                <w:szCs w:val="22"/>
              </w:rPr>
            </w:r>
          </w:p>
        </w:tc>
      </w:tr>
      <w:tr>
        <w:trPr/>
        <w:tc>
          <w:tcPr>
            <w:tcW w:w="9437" w:type="dxa"/>
            <w:gridSpan w:val="2"/>
            <w:tcBorders>
              <w:top w:val="nil"/>
              <w:left w:val="nil"/>
              <w:bottom w:val="nil"/>
              <w:right w:val="nil"/>
              <w:insideH w:val="nil"/>
              <w:insideV w:val="nil"/>
            </w:tcBorders>
            <w:shd w:fill="auto" w:val="clear"/>
          </w:tcPr>
          <w:p>
            <w:pPr>
              <w:pStyle w:val="ListParagraph"/>
              <w:numPr>
                <w:ilvl w:val="0"/>
                <w:numId w:val="2"/>
              </w:numPr>
              <w:suppressAutoHyphens w:val="true"/>
              <w:ind w:left="424" w:right="-1" w:hanging="360"/>
              <w:jc w:val="both"/>
              <w:rPr>
                <w:sz w:val="22"/>
                <w:szCs w:val="22"/>
              </w:rPr>
            </w:pPr>
            <w:r>
              <w:rPr>
                <w:sz w:val="22"/>
                <w:szCs w:val="22"/>
              </w:rPr>
              <w:t>Käesoleva Lepingu Eritingimused;</w:t>
            </w:r>
          </w:p>
          <w:p>
            <w:pPr>
              <w:pStyle w:val="ListParagraph"/>
              <w:numPr>
                <w:ilvl w:val="0"/>
                <w:numId w:val="2"/>
              </w:numPr>
              <w:suppressAutoHyphens w:val="true"/>
              <w:ind w:left="424" w:right="-1" w:hanging="360"/>
              <w:jc w:val="both"/>
              <w:rPr>
                <w:sz w:val="22"/>
                <w:szCs w:val="22"/>
              </w:rPr>
            </w:pPr>
            <w:r>
              <w:rPr>
                <w:sz w:val="22"/>
                <w:szCs w:val="22"/>
              </w:rPr>
              <w:t>Riigihanke „Antsla esmatasandi tervisekeskuse ehitustööde omanikujärelevalve teenus“ hankedokumendid koos lisadega ning riigihanke käigus antud selgitused;</w:t>
            </w:r>
          </w:p>
          <w:p>
            <w:pPr>
              <w:pStyle w:val="ListParagraph"/>
              <w:numPr>
                <w:ilvl w:val="0"/>
                <w:numId w:val="2"/>
              </w:numPr>
              <w:suppressAutoHyphens w:val="true"/>
              <w:ind w:left="424" w:right="-1" w:hanging="360"/>
              <w:jc w:val="both"/>
              <w:rPr>
                <w:sz w:val="22"/>
                <w:szCs w:val="22"/>
              </w:rPr>
            </w:pPr>
            <w:r>
              <w:rPr>
                <w:sz w:val="22"/>
                <w:szCs w:val="22"/>
              </w:rPr>
              <w:t>Käsundisaaja poolt riigihankes „Antsla esmatasandi tervisekeskuse ehitustööde omanikujärelevalve teenus“ esitatud pakkumus koos kõikide selle lisadega;</w:t>
            </w:r>
          </w:p>
          <w:p>
            <w:pPr>
              <w:pStyle w:val="ListParagraph"/>
              <w:numPr>
                <w:ilvl w:val="0"/>
                <w:numId w:val="2"/>
              </w:numPr>
              <w:suppressAutoHyphens w:val="true"/>
              <w:ind w:left="424" w:right="-1" w:hanging="360"/>
              <w:jc w:val="both"/>
              <w:rPr>
                <w:bCs/>
                <w:sz w:val="22"/>
                <w:szCs w:val="22"/>
              </w:rPr>
            </w:pPr>
            <w:r>
              <w:rPr>
                <w:sz w:val="22"/>
                <w:szCs w:val="22"/>
              </w:rPr>
              <w:t xml:space="preserve">Riigihanke „Antsla esmatasandi tervisekeskuse ehitustööde </w:t>
            </w:r>
            <w:r>
              <w:rPr>
                <w:sz w:val="22"/>
                <w:szCs w:val="22"/>
              </w:rPr>
              <w:t>täävõtuleping</w:t>
            </w:r>
            <w:r>
              <w:rPr>
                <w:sz w:val="22"/>
                <w:szCs w:val="22"/>
              </w:rPr>
              <w:t>“ tulemusena sõlmitud ehitustööde töövõtuleping koos lisadega.</w:t>
            </w:r>
          </w:p>
          <w:p>
            <w:pPr>
              <w:pStyle w:val="Normal"/>
              <w:suppressAutoHyphens w:val="true"/>
              <w:rPr>
                <w:rFonts w:ascii="Verdana" w:hAnsi="Verdana"/>
                <w:color w:val="000000"/>
              </w:rPr>
            </w:pPr>
            <w:r>
              <w:rPr>
                <w:rFonts w:ascii="Verdana" w:hAnsi="Verdana"/>
                <w:color w:val="000000"/>
              </w:rPr>
            </w:r>
          </w:p>
          <w:p>
            <w:pPr>
              <w:pStyle w:val="ListParagraph"/>
              <w:numPr>
                <w:ilvl w:val="0"/>
                <w:numId w:val="2"/>
              </w:numPr>
              <w:suppressAutoHyphens w:val="true"/>
              <w:ind w:left="424" w:right="-1" w:hanging="360"/>
              <w:jc w:val="both"/>
              <w:rPr>
                <w:sz w:val="22"/>
                <w:szCs w:val="22"/>
              </w:rPr>
            </w:pPr>
            <w:r>
              <w:rPr>
                <w:sz w:val="22"/>
                <w:szCs w:val="22"/>
              </w:rPr>
              <w:t xml:space="preserve"> </w:t>
            </w:r>
            <w:r>
              <w:rPr>
                <w:sz w:val="22"/>
                <w:szCs w:val="22"/>
              </w:rPr>
              <w:t>Käesoleva Lepingu Põhitingimused.</w:t>
            </w:r>
          </w:p>
          <w:p>
            <w:pPr>
              <w:pStyle w:val="Normal"/>
              <w:suppressAutoHyphens w:val="true"/>
              <w:ind w:right="-1" w:hanging="0"/>
              <w:jc w:val="both"/>
              <w:rPr>
                <w:sz w:val="22"/>
                <w:szCs w:val="22"/>
              </w:rPr>
            </w:pPr>
            <w:r>
              <w:rPr>
                <w:sz w:val="22"/>
                <w:szCs w:val="22"/>
              </w:rPr>
            </w:r>
          </w:p>
        </w:tc>
      </w:tr>
      <w:tr>
        <w:trPr/>
        <w:tc>
          <w:tcPr>
            <w:tcW w:w="3053" w:type="dxa"/>
            <w:tcBorders>
              <w:top w:val="nil"/>
              <w:left w:val="nil"/>
              <w:bottom w:val="nil"/>
              <w:right w:val="nil"/>
              <w:insideH w:val="nil"/>
              <w:insideV w:val="nil"/>
            </w:tcBorders>
            <w:shd w:fill="auto" w:val="clear"/>
          </w:tcPr>
          <w:p>
            <w:pPr>
              <w:pStyle w:val="Normal"/>
              <w:suppressAutoHyphens w:val="true"/>
              <w:ind w:right="-1" w:hanging="0"/>
              <w:jc w:val="both"/>
              <w:rPr>
                <w:sz w:val="22"/>
                <w:szCs w:val="22"/>
              </w:rPr>
            </w:pPr>
            <w:r>
              <w:rPr>
                <w:sz w:val="22"/>
                <w:szCs w:val="22"/>
              </w:rPr>
            </w:r>
          </w:p>
        </w:tc>
        <w:tc>
          <w:tcPr>
            <w:tcW w:w="6384" w:type="dxa"/>
            <w:tcBorders>
              <w:top w:val="nil"/>
              <w:left w:val="nil"/>
              <w:bottom w:val="nil"/>
              <w:right w:val="nil"/>
              <w:insideH w:val="nil"/>
              <w:insideV w:val="nil"/>
            </w:tcBorders>
            <w:shd w:fill="auto" w:val="clear"/>
          </w:tcPr>
          <w:p>
            <w:pPr>
              <w:pStyle w:val="Normal"/>
              <w:suppressAutoHyphens w:val="true"/>
              <w:ind w:right="-1" w:hanging="0"/>
              <w:jc w:val="both"/>
              <w:rPr>
                <w:sz w:val="22"/>
                <w:szCs w:val="22"/>
              </w:rPr>
            </w:pPr>
            <w:r>
              <w:rPr>
                <w:sz w:val="22"/>
                <w:szCs w:val="22"/>
              </w:rPr>
              <w:t>Kõik Lepingu dokumendid moodustavad ühtse terviku ning täiendavad üksteist. Vastuolude korral erinevate Lepingu dokumentide vahel lähtutakse dokumentide tõlgendamisel punktis 2.5 sätestatud tähtsuse (prioriteetsuse) järjekorrast. Vastuoluks ei loeta dokumentides seatud tingimuste erinevat ranguse astet - kui erinevates dokumentides esineb eri rangusega tingimusi, tuleb arvestada kõige rangemate tingimustega.</w:t>
            </w:r>
          </w:p>
          <w:p>
            <w:pPr>
              <w:pStyle w:val="Normal"/>
              <w:suppressAutoHyphens w:val="true"/>
              <w:ind w:right="-1" w:hanging="0"/>
              <w:jc w:val="both"/>
              <w:rPr>
                <w:sz w:val="22"/>
                <w:szCs w:val="22"/>
              </w:rPr>
            </w:pPr>
            <w:r>
              <w:rPr>
                <w:sz w:val="22"/>
                <w:szCs w:val="22"/>
              </w:rPr>
            </w:r>
          </w:p>
          <w:p>
            <w:pPr>
              <w:pStyle w:val="Normal"/>
              <w:suppressAutoHyphens w:val="true"/>
              <w:ind w:right="-1" w:hanging="0"/>
              <w:jc w:val="both"/>
              <w:rPr>
                <w:sz w:val="22"/>
                <w:szCs w:val="22"/>
              </w:rPr>
            </w:pPr>
            <w:r>
              <w:rPr>
                <w:sz w:val="22"/>
                <w:szCs w:val="22"/>
              </w:rPr>
              <w:t>Lepingu sama prioriteetsuse tasemega dokumentide vastuolu korral lähtutakse hilisemast dokumendist. Lepingu allkirjastamise hetkel olemasolevad Lepingu dokumendid loetakse samaaegseteks.</w:t>
            </w:r>
          </w:p>
          <w:p>
            <w:pPr>
              <w:pStyle w:val="ListParagraph"/>
              <w:suppressAutoHyphens w:val="true"/>
              <w:ind w:left="720" w:right="-1" w:hanging="0"/>
              <w:jc w:val="both"/>
              <w:rPr>
                <w:sz w:val="22"/>
                <w:szCs w:val="22"/>
              </w:rPr>
            </w:pPr>
            <w:r>
              <w:rPr>
                <w:sz w:val="22"/>
                <w:szCs w:val="22"/>
              </w:rPr>
            </w:r>
          </w:p>
        </w:tc>
      </w:tr>
      <w:tr>
        <w:trPr/>
        <w:tc>
          <w:tcPr>
            <w:tcW w:w="3053" w:type="dxa"/>
            <w:tcBorders>
              <w:top w:val="nil"/>
              <w:left w:val="nil"/>
              <w:bottom w:val="nil"/>
              <w:right w:val="nil"/>
              <w:insideH w:val="nil"/>
              <w:insideV w:val="nil"/>
            </w:tcBorders>
            <w:shd w:fill="auto" w:val="clear"/>
          </w:tcPr>
          <w:p>
            <w:pPr>
              <w:pStyle w:val="ListParagraph"/>
              <w:numPr>
                <w:ilvl w:val="1"/>
                <w:numId w:val="4"/>
              </w:numPr>
              <w:suppressAutoHyphens w:val="true"/>
              <w:ind w:left="426" w:right="-1" w:hanging="426"/>
              <w:jc w:val="both"/>
              <w:rPr>
                <w:sz w:val="22"/>
                <w:szCs w:val="22"/>
              </w:rPr>
            </w:pPr>
            <w:r>
              <w:rPr>
                <w:sz w:val="22"/>
                <w:szCs w:val="22"/>
              </w:rPr>
              <w:t>Lepinguhind:</w:t>
            </w:r>
          </w:p>
        </w:tc>
        <w:tc>
          <w:tcPr>
            <w:tcW w:w="6384" w:type="dxa"/>
            <w:tcBorders>
              <w:top w:val="nil"/>
              <w:left w:val="nil"/>
              <w:bottom w:val="nil"/>
              <w:right w:val="nil"/>
              <w:insideH w:val="nil"/>
              <w:insideV w:val="nil"/>
            </w:tcBorders>
            <w:shd w:fill="auto" w:val="clear"/>
          </w:tcPr>
          <w:p>
            <w:pPr>
              <w:pStyle w:val="Normal"/>
              <w:suppressAutoHyphens w:val="true"/>
              <w:jc w:val="both"/>
              <w:rPr/>
            </w:pPr>
            <w:r>
              <w:rPr>
                <w:sz w:val="22"/>
                <w:szCs w:val="22"/>
              </w:rPr>
              <w:t xml:space="preserve">Lepingu hind (edaspidi </w:t>
            </w:r>
            <w:r>
              <w:rPr>
                <w:b/>
                <w:sz w:val="22"/>
                <w:szCs w:val="22"/>
              </w:rPr>
              <w:t>Lepingu hind</w:t>
            </w:r>
            <w:r>
              <w:rPr>
                <w:sz w:val="22"/>
                <w:szCs w:val="22"/>
              </w:rPr>
              <w:t xml:space="preserve">) on </w:t>
            </w:r>
            <w:r>
              <w:fldChar w:fldCharType="begin"/>
            </w:r>
            <w:r>
              <w:rPr/>
              <w:instrText>MACROBUTTONAcceptAllChangesInDoc "summa numbritega"</w:instrText>
            </w:r>
            <w:r>
              <w:rPr/>
              <w:fldChar w:fldCharType="separate"/>
            </w:r>
            <w:bookmarkStart w:id="2" w:name="__Fieldmark__1999_1011547222"/>
            <w:r>
              <w:rPr/>
            </w:r>
            <w:r>
              <w:rPr>
                <w:sz w:val="22"/>
                <w:szCs w:val="22"/>
                <w:highlight w:val="lightGray"/>
                <w:u w:val="single"/>
              </w:rPr>
              <w:t xml:space="preserve">"summa numbritega" </w:t>
            </w:r>
            <w:r>
              <w:rPr/>
            </w:r>
            <w:r>
              <w:rPr/>
              <w:fldChar w:fldCharType="end"/>
            </w:r>
            <w:bookmarkEnd w:id="2"/>
            <w:r>
              <w:rPr>
                <w:b/>
                <w:sz w:val="22"/>
                <w:szCs w:val="22"/>
              </w:rPr>
              <w:t>(</w:t>
            </w:r>
            <w:r>
              <w:fldChar w:fldCharType="begin"/>
            </w:r>
            <w:r>
              <w:rPr/>
              <w:instrText>MACROBUTTONAcceptAllChangesInDoc "sama summa sõnadega"</w:instrText>
            </w:r>
            <w:r>
              <w:rPr/>
              <w:fldChar w:fldCharType="separate"/>
            </w:r>
            <w:bookmarkStart w:id="3" w:name="__Fieldmark__2004_1011547222"/>
            <w:r>
              <w:rPr/>
            </w:r>
            <w:r>
              <w:rPr>
                <w:sz w:val="22"/>
                <w:szCs w:val="22"/>
                <w:highlight w:val="lightGray"/>
              </w:rPr>
              <w:t xml:space="preserve">"sama summa sõnadega" </w:t>
            </w:r>
            <w:r>
              <w:rPr/>
            </w:r>
            <w:r>
              <w:rPr/>
              <w:fldChar w:fldCharType="end"/>
            </w:r>
            <w:bookmarkEnd w:id="3"/>
            <w:r>
              <w:rPr>
                <w:sz w:val="22"/>
                <w:szCs w:val="22"/>
              </w:rPr>
              <w:t xml:space="preserve">) </w:t>
            </w:r>
            <w:r>
              <w:rPr>
                <w:b/>
                <w:sz w:val="22"/>
                <w:szCs w:val="22"/>
              </w:rPr>
              <w:t>eurot</w:t>
            </w:r>
            <w:r>
              <w:rPr>
                <w:sz w:val="22"/>
                <w:szCs w:val="22"/>
              </w:rPr>
              <w:t>, millele lisandub käibemaks õigusaktidega sätestatud määras.</w:t>
            </w:r>
          </w:p>
          <w:p>
            <w:pPr>
              <w:pStyle w:val="Normal"/>
              <w:suppressAutoHyphens w:val="true"/>
              <w:jc w:val="both"/>
              <w:rPr>
                <w:sz w:val="22"/>
                <w:szCs w:val="22"/>
              </w:rPr>
            </w:pPr>
            <w:r>
              <w:rPr>
                <w:sz w:val="22"/>
                <w:szCs w:val="22"/>
              </w:rPr>
            </w:r>
          </w:p>
          <w:p>
            <w:pPr>
              <w:pStyle w:val="Normal"/>
              <w:suppressAutoHyphens w:val="true"/>
              <w:jc w:val="both"/>
              <w:rPr/>
            </w:pPr>
            <w:r>
              <w:rPr>
                <w:sz w:val="22"/>
                <w:szCs w:val="22"/>
              </w:rPr>
              <w:t xml:space="preserve">Lepingu hind koosneb </w:t>
            </w:r>
            <w:r>
              <w:rPr>
                <w:b/>
                <w:sz w:val="22"/>
                <w:szCs w:val="22"/>
              </w:rPr>
              <w:t>Teenuse üldmaksumusest</w:t>
            </w:r>
            <w:r>
              <w:rPr>
                <w:sz w:val="22"/>
                <w:szCs w:val="22"/>
              </w:rPr>
              <w:t xml:space="preserve"> summas </w:t>
            </w:r>
            <w:r>
              <w:fldChar w:fldCharType="begin"/>
            </w:r>
            <w:r>
              <w:rPr/>
              <w:instrText>MACROBUTTONAcceptAllChangesInDoc "summa numbritega"</w:instrText>
            </w:r>
            <w:r>
              <w:rPr/>
              <w:fldChar w:fldCharType="separate"/>
            </w:r>
            <w:bookmarkStart w:id="4" w:name="__Fieldmark__2015_1011547222"/>
            <w:r>
              <w:rPr/>
            </w:r>
            <w:r>
              <w:rPr>
                <w:sz w:val="22"/>
                <w:szCs w:val="22"/>
                <w:highlight w:val="lightGray"/>
                <w:u w:val="single"/>
              </w:rPr>
              <w:t xml:space="preserve">"summa numbritega" </w:t>
            </w:r>
            <w:r>
              <w:rPr/>
            </w:r>
            <w:r>
              <w:rPr/>
              <w:fldChar w:fldCharType="end"/>
            </w:r>
            <w:bookmarkEnd w:id="4"/>
            <w:r>
              <w:rPr>
                <w:sz w:val="22"/>
                <w:szCs w:val="22"/>
              </w:rPr>
              <w:t>(</w:t>
            </w:r>
            <w:r>
              <w:fldChar w:fldCharType="begin"/>
            </w:r>
            <w:r>
              <w:rPr/>
              <w:instrText>MACROBUTTONAcceptAllChangesInDoc "sama summa sõnadega"</w:instrText>
            </w:r>
            <w:r>
              <w:rPr/>
              <w:fldChar w:fldCharType="separate"/>
            </w:r>
            <w:bookmarkStart w:id="5" w:name="__Fieldmark__2020_1011547222"/>
            <w:r>
              <w:rPr/>
            </w:r>
            <w:r>
              <w:rPr>
                <w:sz w:val="22"/>
                <w:szCs w:val="22"/>
                <w:highlight w:val="lightGray"/>
              </w:rPr>
              <w:t xml:space="preserve">"sama summa sõnadega" </w:t>
            </w:r>
            <w:r>
              <w:rPr/>
            </w:r>
            <w:r>
              <w:rPr/>
              <w:fldChar w:fldCharType="end"/>
            </w:r>
            <w:bookmarkEnd w:id="5"/>
            <w:r>
              <w:rPr>
                <w:sz w:val="22"/>
                <w:szCs w:val="22"/>
              </w:rPr>
              <w:t xml:space="preserve">) </w:t>
            </w:r>
            <w:r>
              <w:rPr>
                <w:b/>
                <w:sz w:val="22"/>
                <w:szCs w:val="22"/>
              </w:rPr>
              <w:t>eurot</w:t>
            </w:r>
            <w:r>
              <w:rPr>
                <w:sz w:val="22"/>
                <w:szCs w:val="22"/>
              </w:rPr>
              <w:t>, millele lisandub käibemaks õigusaktidega sätestatud määras. Teenuse üldmaksumus sisaldab endas Käsundisaaja tasu, samuti Käsundisaaja ja tema võimalike alltöövõtjate kõik kulutused Teenuse osutamisel Lepingu raames. Teenuse üldmaksumus ei ole seatud sõltuvusse inflatsioonist ega muudest teguritest ning Teenuse üldmaksumust Lepingu kehtivuse tähtaja jooksul ei korrigeerita. Käsundisaaja kinnitab, et on arvestanud oma pakkumuse mahtu ka need tööd, mis ei ole Riigihanke hankedokumentides kirjeldatud, kui mis on tuginedes heale tavale ja Käsundisaaja professionaalsusele vajalikud Lepingus kirjeldatud tööde nõuetekohaseks teostamiseks.</w:t>
            </w:r>
          </w:p>
        </w:tc>
      </w:tr>
      <w:tr>
        <w:trPr/>
        <w:tc>
          <w:tcPr>
            <w:tcW w:w="3053" w:type="dxa"/>
            <w:tcBorders>
              <w:top w:val="nil"/>
              <w:left w:val="nil"/>
              <w:bottom w:val="nil"/>
              <w:right w:val="nil"/>
              <w:insideH w:val="nil"/>
              <w:insideV w:val="nil"/>
            </w:tcBorders>
            <w:shd w:fill="auto" w:val="clear"/>
          </w:tcPr>
          <w:p>
            <w:pPr>
              <w:pStyle w:val="Normal"/>
              <w:suppressAutoHyphens w:val="true"/>
              <w:ind w:right="-1" w:hanging="0"/>
              <w:jc w:val="both"/>
              <w:rPr>
                <w:sz w:val="22"/>
                <w:szCs w:val="22"/>
              </w:rPr>
            </w:pPr>
            <w:r>
              <w:rPr>
                <w:sz w:val="22"/>
                <w:szCs w:val="22"/>
              </w:rPr>
            </w:r>
          </w:p>
        </w:tc>
        <w:tc>
          <w:tcPr>
            <w:tcW w:w="6384" w:type="dxa"/>
            <w:tcBorders>
              <w:top w:val="nil"/>
              <w:left w:val="nil"/>
              <w:bottom w:val="nil"/>
              <w:right w:val="nil"/>
              <w:insideH w:val="nil"/>
              <w:insideV w:val="nil"/>
            </w:tcBorders>
            <w:shd w:fill="auto" w:val="clear"/>
          </w:tcPr>
          <w:p>
            <w:pPr>
              <w:pStyle w:val="Normal"/>
              <w:suppressAutoHyphens w:val="true"/>
              <w:ind w:right="-1" w:hanging="0"/>
              <w:jc w:val="both"/>
              <w:rPr>
                <w:sz w:val="22"/>
                <w:szCs w:val="22"/>
              </w:rPr>
            </w:pPr>
            <w:r>
              <w:rPr>
                <w:sz w:val="22"/>
                <w:szCs w:val="22"/>
              </w:rPr>
            </w:r>
          </w:p>
        </w:tc>
      </w:tr>
      <w:tr>
        <w:trPr/>
        <w:tc>
          <w:tcPr>
            <w:tcW w:w="3053" w:type="dxa"/>
            <w:tcBorders>
              <w:top w:val="nil"/>
              <w:left w:val="nil"/>
              <w:bottom w:val="nil"/>
              <w:right w:val="nil"/>
              <w:insideH w:val="nil"/>
              <w:insideV w:val="nil"/>
            </w:tcBorders>
            <w:shd w:fill="auto" w:val="clear"/>
          </w:tcPr>
          <w:p>
            <w:pPr>
              <w:pStyle w:val="ListParagraph"/>
              <w:numPr>
                <w:ilvl w:val="1"/>
                <w:numId w:val="4"/>
              </w:numPr>
              <w:suppressAutoHyphens w:val="true"/>
              <w:ind w:left="426" w:right="-1" w:hanging="426"/>
              <w:jc w:val="both"/>
              <w:rPr>
                <w:sz w:val="22"/>
                <w:szCs w:val="22"/>
              </w:rPr>
            </w:pPr>
            <w:r>
              <w:rPr>
                <w:sz w:val="22"/>
                <w:szCs w:val="22"/>
              </w:rPr>
              <w:t xml:space="preserve">Tsiviilvastutuskindlustus: </w:t>
            </w:r>
          </w:p>
        </w:tc>
        <w:tc>
          <w:tcPr>
            <w:tcW w:w="6384" w:type="dxa"/>
            <w:tcBorders>
              <w:top w:val="nil"/>
              <w:left w:val="nil"/>
              <w:bottom w:val="nil"/>
              <w:right w:val="nil"/>
              <w:insideH w:val="nil"/>
              <w:insideV w:val="nil"/>
            </w:tcBorders>
            <w:shd w:fill="auto" w:val="clear"/>
          </w:tcPr>
          <w:p>
            <w:pPr>
              <w:pStyle w:val="Normal"/>
              <w:suppressAutoHyphens w:val="true"/>
              <w:ind w:right="-1" w:hanging="0"/>
              <w:jc w:val="both"/>
              <w:rPr>
                <w:sz w:val="22"/>
                <w:szCs w:val="22"/>
              </w:rPr>
            </w:pPr>
            <w:r>
              <w:rPr>
                <w:sz w:val="22"/>
                <w:szCs w:val="22"/>
              </w:rPr>
              <w:t>Käsundisaaja on kohustatud kindlustama oma tegevuse ametialase tsiviilvastutuskindlustusega vähemalt viie tuhande (5 000) euro ulatuses ja esitama Käsundiandjale vastava kindlustuspoliisi hiljemalt seitsme (7) päeva jooksul pärast Lepingu sõlmimist ning hoidma kindlustuse jõus kogu hankelepingu täitmise perioodi jooksul. Seejuures ei või kindlustuse omavastutus olla suurem, kui 300 eurot.</w:t>
            </w:r>
          </w:p>
        </w:tc>
      </w:tr>
    </w:tbl>
    <w:p>
      <w:pPr>
        <w:pStyle w:val="ListParagraph"/>
        <w:ind w:left="426" w:hanging="0"/>
        <w:jc w:val="both"/>
        <w:rPr>
          <w:sz w:val="22"/>
          <w:szCs w:val="22"/>
        </w:rPr>
      </w:pPr>
      <w:r>
        <w:rPr>
          <w:sz w:val="22"/>
          <w:szCs w:val="22"/>
        </w:rPr>
      </w:r>
    </w:p>
    <w:p>
      <w:pPr>
        <w:pStyle w:val="ListParagraph"/>
        <w:numPr>
          <w:ilvl w:val="1"/>
          <w:numId w:val="4"/>
        </w:numPr>
        <w:ind w:left="426" w:hanging="426"/>
        <w:jc w:val="both"/>
        <w:rPr>
          <w:sz w:val="22"/>
          <w:szCs w:val="22"/>
        </w:rPr>
      </w:pPr>
      <w:r>
        <w:rPr>
          <w:sz w:val="22"/>
          <w:szCs w:val="22"/>
        </w:rPr>
        <w:t xml:space="preserve">Teenuse täitmise eest tasumise maksegraafik (Lepingus nimetatud ka kui </w:t>
      </w:r>
      <w:r>
        <w:rPr>
          <w:b/>
          <w:sz w:val="22"/>
          <w:szCs w:val="22"/>
        </w:rPr>
        <w:t>Maksepost</w:t>
      </w:r>
      <w:r>
        <w:rPr>
          <w:sz w:val="22"/>
          <w:szCs w:val="22"/>
        </w:rPr>
        <w:t>) ning Teenuse osutamise tähtajad:</w:t>
      </w:r>
    </w:p>
    <w:p>
      <w:pPr>
        <w:pStyle w:val="Normal"/>
        <w:rPr>
          <w:sz w:val="22"/>
          <w:szCs w:val="22"/>
        </w:rPr>
      </w:pPr>
      <w:r>
        <w:rPr>
          <w:sz w:val="22"/>
          <w:szCs w:val="22"/>
        </w:rPr>
      </w:r>
      <w:r>
        <w:br w:type="page"/>
      </w:r>
    </w:p>
    <w:p>
      <w:pPr>
        <w:pStyle w:val="ListParagraph"/>
        <w:ind w:left="426" w:hanging="0"/>
        <w:jc w:val="both"/>
        <w:rPr>
          <w:sz w:val="22"/>
          <w:szCs w:val="22"/>
        </w:rPr>
      </w:pPr>
      <w:r>
        <w:rPr>
          <w:sz w:val="22"/>
          <w:szCs w:val="22"/>
        </w:rPr>
      </w:r>
    </w:p>
    <w:tbl>
      <w:tblPr>
        <w:tblW w:w="10349" w:type="dxa"/>
        <w:jc w:val="lef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0" w:lastRow="1" w:firstColumn="1" w:lastColumn="1" w:noHBand="0" w:val="01e0"/>
      </w:tblPr>
      <w:tblGrid>
        <w:gridCol w:w="4110"/>
        <w:gridCol w:w="2836"/>
        <w:gridCol w:w="3403"/>
      </w:tblGrid>
      <w:tr>
        <w:trPr>
          <w:cantSplit w:val="true"/>
        </w:trPr>
        <w:tc>
          <w:tcPr>
            <w:tcW w:w="41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b/>
                <w:b/>
                <w:sz w:val="22"/>
                <w:szCs w:val="22"/>
              </w:rPr>
            </w:pPr>
            <w:r>
              <w:rPr>
                <w:b/>
                <w:sz w:val="22"/>
                <w:szCs w:val="22"/>
              </w:rPr>
              <w:t xml:space="preserve">Käsundisaaja kohustused, mille täitmine on eelduseks Teenuse eest tasu maksmisele </w:t>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b/>
                <w:b/>
                <w:sz w:val="22"/>
                <w:szCs w:val="22"/>
              </w:rPr>
            </w:pPr>
            <w:r>
              <w:rPr>
                <w:b/>
                <w:sz w:val="22"/>
                <w:szCs w:val="22"/>
              </w:rPr>
              <w:t>Tasumisele kuuluv % Lepingusummast ja summa (km-ta)</w:t>
            </w:r>
          </w:p>
        </w:tc>
        <w:tc>
          <w:tcPr>
            <w:tcW w:w="34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b/>
                <w:b/>
                <w:sz w:val="22"/>
                <w:szCs w:val="22"/>
              </w:rPr>
            </w:pPr>
            <w:r>
              <w:rPr>
                <w:b/>
                <w:sz w:val="22"/>
                <w:szCs w:val="22"/>
              </w:rPr>
              <w:t>Planeeritud tähtajad ja/või  ehitustööde kestus</w:t>
            </w:r>
          </w:p>
        </w:tc>
      </w:tr>
      <w:tr>
        <w:trPr>
          <w:cantSplit w:val="true"/>
        </w:trPr>
        <w:tc>
          <w:tcPr>
            <w:tcW w:w="41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sz w:val="22"/>
                <w:szCs w:val="22"/>
              </w:rPr>
            </w:pPr>
            <w:r>
              <w:rPr>
                <w:sz w:val="22"/>
                <w:szCs w:val="22"/>
              </w:rPr>
              <w:t>Käsundisaaja kohustuste täitmine ehitustööde perioodil kuni ehitustööde täieliku teostamiseni ja Objektile kasutusloa saamiseni.</w:t>
            </w:r>
          </w:p>
          <w:p>
            <w:pPr>
              <w:pStyle w:val="Normal"/>
              <w:suppressAutoHyphens w:val="true"/>
              <w:rPr>
                <w:sz w:val="22"/>
                <w:szCs w:val="22"/>
              </w:rPr>
            </w:pPr>
            <w:r>
              <w:rPr>
                <w:sz w:val="22"/>
                <w:szCs w:val="22"/>
              </w:rPr>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b/>
                <w:b/>
                <w:sz w:val="22"/>
                <w:szCs w:val="22"/>
              </w:rPr>
            </w:pPr>
            <w:r>
              <w:rPr>
                <w:b/>
                <w:sz w:val="22"/>
                <w:szCs w:val="22"/>
              </w:rPr>
            </w:r>
          </w:p>
          <w:p>
            <w:pPr>
              <w:pStyle w:val="Normal"/>
              <w:suppressAutoHyphens w:val="true"/>
              <w:rPr>
                <w:color w:val="000000" w:themeColor="text1"/>
                <w:sz w:val="22"/>
                <w:szCs w:val="22"/>
              </w:rPr>
            </w:pPr>
            <w:r>
              <w:rPr>
                <w:b/>
                <w:sz w:val="22"/>
                <w:szCs w:val="22"/>
              </w:rPr>
              <w:t xml:space="preserve">77% </w:t>
            </w:r>
            <w:r>
              <w:rPr>
                <w:color w:val="000000" w:themeColor="text1"/>
                <w:sz w:val="22"/>
                <w:szCs w:val="22"/>
              </w:rPr>
              <w:t xml:space="preserve">Lepingusummast </w:t>
            </w:r>
          </w:p>
          <w:p>
            <w:pPr>
              <w:pStyle w:val="Normal"/>
              <w:suppressAutoHyphens w:val="true"/>
              <w:rPr>
                <w:b/>
                <w:b/>
                <w:color w:val="000000" w:themeColor="text1"/>
                <w:sz w:val="22"/>
                <w:szCs w:val="22"/>
              </w:rPr>
            </w:pPr>
            <w:r>
              <w:rPr>
                <w:color w:val="000000" w:themeColor="text1"/>
                <w:sz w:val="22"/>
                <w:szCs w:val="22"/>
              </w:rPr>
              <w:t>(tasutakse igakuiselt</w:t>
            </w:r>
          </w:p>
          <w:p>
            <w:pPr>
              <w:pStyle w:val="Normal"/>
              <w:suppressAutoHyphens w:val="true"/>
              <w:rPr>
                <w:color w:val="000000" w:themeColor="text1"/>
                <w:sz w:val="22"/>
                <w:szCs w:val="22"/>
              </w:rPr>
            </w:pPr>
            <w:r>
              <w:rPr>
                <w:color w:val="000000" w:themeColor="text1"/>
                <w:sz w:val="22"/>
                <w:szCs w:val="22"/>
              </w:rPr>
              <w:t>Töövõtja esitatava akti alusel.</w:t>
            </w:r>
          </w:p>
          <w:p>
            <w:pPr>
              <w:pStyle w:val="Normal"/>
              <w:suppressAutoHyphens w:val="true"/>
              <w:rPr>
                <w:sz w:val="22"/>
                <w:szCs w:val="22"/>
              </w:rPr>
            </w:pPr>
            <w:r>
              <w:rPr>
                <w:sz w:val="22"/>
                <w:szCs w:val="22"/>
              </w:rPr>
            </w:r>
          </w:p>
          <w:p>
            <w:pPr>
              <w:pStyle w:val="Normal"/>
              <w:suppressAutoHyphens w:val="true"/>
              <w:rPr>
                <w:sz w:val="22"/>
                <w:szCs w:val="22"/>
              </w:rPr>
            </w:pPr>
            <w:r>
              <w:rPr>
                <w:b/>
                <w:sz w:val="22"/>
                <w:szCs w:val="22"/>
              </w:rPr>
              <w:t>Kokku</w:t>
            </w:r>
            <w:r>
              <w:rPr>
                <w:sz w:val="22"/>
                <w:szCs w:val="22"/>
              </w:rPr>
              <w:t>…………… eurot</w:t>
            </w:r>
          </w:p>
          <w:p>
            <w:pPr>
              <w:pStyle w:val="Normal"/>
              <w:suppressAutoHyphens w:val="true"/>
              <w:rPr>
                <w:sz w:val="22"/>
                <w:szCs w:val="22"/>
              </w:rPr>
            </w:pPr>
            <w:r>
              <w:rPr>
                <w:sz w:val="22"/>
                <w:szCs w:val="22"/>
              </w:rPr>
            </w:r>
          </w:p>
        </w:tc>
        <w:tc>
          <w:tcPr>
            <w:tcW w:w="34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color w:val="0000FF"/>
                <w:sz w:val="22"/>
                <w:szCs w:val="22"/>
              </w:rPr>
            </w:pPr>
            <w:r>
              <w:rPr>
                <w:sz w:val="22"/>
                <w:szCs w:val="22"/>
              </w:rPr>
              <w:t>Planeeritud ehitustööde kestus on kokku orienteeruvalt …. kalendrikuud</w:t>
            </w:r>
          </w:p>
        </w:tc>
      </w:tr>
      <w:tr>
        <w:trPr>
          <w:cantSplit w:val="true"/>
        </w:trPr>
        <w:tc>
          <w:tcPr>
            <w:tcW w:w="41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sz w:val="22"/>
                <w:szCs w:val="22"/>
              </w:rPr>
            </w:pPr>
            <w:r>
              <w:rPr>
                <w:sz w:val="22"/>
                <w:szCs w:val="22"/>
              </w:rPr>
              <w:t>Käsundisaaja kohustuste täitmine pärast ehitustööde teostaja poolt Objekti kasutusloajärgsete ülesannete ja  toimingute täitmist (vastuvõtmise käigus fikseeritud ja ehitaja kõrvaldatud puuduste ja vaegtööde ülevaatus ja vastuvõtmine, lõpuakti ja üleantava ehituse täite-dokumentatsiooni ülevaatus ja vastuvõtmine, lõpuakti läbivaatus ja muude kasutusloajärgsete toimingute teostamine, mis on seotud Objekti lõpliku valmimise ja üleandmisega)</w:t>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sz w:val="22"/>
                <w:szCs w:val="22"/>
              </w:rPr>
            </w:pPr>
            <w:r>
              <w:rPr>
                <w:b/>
                <w:sz w:val="22"/>
                <w:szCs w:val="22"/>
              </w:rPr>
              <w:t>14%</w:t>
            </w:r>
            <w:r>
              <w:rPr>
                <w:sz w:val="22"/>
                <w:szCs w:val="22"/>
              </w:rPr>
              <w:t xml:space="preserve"> Lepingusummast </w:t>
            </w:r>
          </w:p>
          <w:p>
            <w:pPr>
              <w:pStyle w:val="Normal"/>
              <w:suppressAutoHyphens w:val="true"/>
              <w:rPr>
                <w:sz w:val="22"/>
                <w:szCs w:val="22"/>
              </w:rPr>
            </w:pPr>
            <w:r>
              <w:rPr>
                <w:sz w:val="22"/>
                <w:szCs w:val="22"/>
              </w:rPr>
            </w:r>
          </w:p>
          <w:p>
            <w:pPr>
              <w:pStyle w:val="Normal"/>
              <w:suppressAutoHyphens w:val="true"/>
              <w:rPr>
                <w:sz w:val="22"/>
                <w:szCs w:val="22"/>
              </w:rPr>
            </w:pPr>
            <w:r>
              <w:rPr>
                <w:b/>
                <w:sz w:val="22"/>
                <w:szCs w:val="22"/>
              </w:rPr>
              <w:t>Kokku…………</w:t>
            </w:r>
            <w:r>
              <w:rPr>
                <w:sz w:val="22"/>
                <w:szCs w:val="22"/>
              </w:rPr>
              <w:t xml:space="preserve"> eurot</w:t>
            </w:r>
          </w:p>
        </w:tc>
        <w:tc>
          <w:tcPr>
            <w:tcW w:w="34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sz w:val="22"/>
                <w:szCs w:val="22"/>
              </w:rPr>
            </w:pPr>
            <w:r>
              <w:rPr>
                <w:sz w:val="22"/>
                <w:szCs w:val="22"/>
              </w:rPr>
              <w:t>Tähtajad fikseeritakse Objekti ehitustööde vastuvõtmise- ja vaegtööde kõrvaldamise aktides</w:t>
            </w:r>
          </w:p>
        </w:tc>
      </w:tr>
      <w:tr>
        <w:trPr>
          <w:cantSplit w:val="true"/>
        </w:trPr>
        <w:tc>
          <w:tcPr>
            <w:tcW w:w="41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sz w:val="22"/>
                <w:szCs w:val="22"/>
              </w:rPr>
            </w:pPr>
            <w:r>
              <w:rPr>
                <w:sz w:val="22"/>
                <w:szCs w:val="22"/>
              </w:rPr>
              <w:t xml:space="preserve">Käsundiandja nõustamine ehitustööde garantiiperioodil (pärast </w:t>
            </w:r>
            <w:r>
              <w:rPr>
                <w:b/>
                <w:sz w:val="22"/>
                <w:szCs w:val="22"/>
              </w:rPr>
              <w:t>1. aasta</w:t>
            </w:r>
            <w:r>
              <w:rPr>
                <w:sz w:val="22"/>
                <w:szCs w:val="22"/>
              </w:rPr>
              <w:t xml:space="preserve"> garantiiaegset ülevaatust ja ehitaja kõrvaldatud garantiiaegsete puuduste vastuvõtmist).</w:t>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b/>
                <w:b/>
                <w:sz w:val="22"/>
                <w:szCs w:val="22"/>
              </w:rPr>
            </w:pPr>
            <w:r>
              <w:rPr>
                <w:b/>
                <w:sz w:val="22"/>
                <w:szCs w:val="22"/>
              </w:rPr>
              <w:t xml:space="preserve">3% </w:t>
            </w:r>
            <w:r>
              <w:rPr>
                <w:sz w:val="22"/>
                <w:szCs w:val="22"/>
              </w:rPr>
              <w:t>Lepingusummast</w:t>
            </w:r>
          </w:p>
          <w:p>
            <w:pPr>
              <w:pStyle w:val="Normal"/>
              <w:suppressAutoHyphens w:val="true"/>
              <w:rPr>
                <w:b/>
                <w:b/>
                <w:sz w:val="22"/>
                <w:szCs w:val="22"/>
              </w:rPr>
            </w:pPr>
            <w:r>
              <w:rPr>
                <w:b/>
                <w:sz w:val="22"/>
                <w:szCs w:val="22"/>
              </w:rPr>
              <w:t>Kokku ________</w:t>
            </w:r>
            <w:r>
              <w:rPr>
                <w:sz w:val="22"/>
                <w:szCs w:val="22"/>
              </w:rPr>
              <w:t>eurot</w:t>
            </w:r>
          </w:p>
        </w:tc>
        <w:tc>
          <w:tcPr>
            <w:tcW w:w="340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sz w:val="22"/>
                <w:szCs w:val="22"/>
              </w:rPr>
            </w:pPr>
            <w:r>
              <w:rPr>
                <w:sz w:val="22"/>
                <w:szCs w:val="22"/>
              </w:rPr>
              <w:t>Garantiiperiood on 36 kuud</w:t>
            </w:r>
          </w:p>
        </w:tc>
      </w:tr>
      <w:tr>
        <w:trPr>
          <w:cantSplit w:val="true"/>
        </w:trPr>
        <w:tc>
          <w:tcPr>
            <w:tcW w:w="41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sz w:val="22"/>
                <w:szCs w:val="22"/>
              </w:rPr>
            </w:pPr>
            <w:r>
              <w:rPr>
                <w:sz w:val="22"/>
                <w:szCs w:val="22"/>
              </w:rPr>
              <w:t xml:space="preserve">Käsundiandja nõustamine ehitustööde garantiiperioodil (pärast </w:t>
            </w:r>
            <w:r>
              <w:rPr>
                <w:b/>
                <w:sz w:val="22"/>
                <w:szCs w:val="22"/>
              </w:rPr>
              <w:t>2. aasta</w:t>
            </w:r>
            <w:r>
              <w:rPr>
                <w:sz w:val="22"/>
                <w:szCs w:val="22"/>
              </w:rPr>
              <w:t xml:space="preserve"> garantiiaegset ülevaatust ja ehitaja kõrvaldatud garantiiaegsete puuduste vastuvõtmist).</w:t>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sz w:val="22"/>
                <w:szCs w:val="22"/>
              </w:rPr>
            </w:pPr>
            <w:r>
              <w:rPr>
                <w:b/>
                <w:sz w:val="22"/>
                <w:szCs w:val="22"/>
              </w:rPr>
              <w:t xml:space="preserve">3% </w:t>
            </w:r>
            <w:r>
              <w:rPr>
                <w:sz w:val="22"/>
                <w:szCs w:val="22"/>
              </w:rPr>
              <w:t>Lepingusummast</w:t>
            </w:r>
          </w:p>
          <w:p>
            <w:pPr>
              <w:pStyle w:val="Normal"/>
              <w:suppressAutoHyphens w:val="true"/>
              <w:rPr>
                <w:b/>
                <w:b/>
                <w:sz w:val="22"/>
                <w:szCs w:val="22"/>
              </w:rPr>
            </w:pPr>
            <w:r>
              <w:rPr>
                <w:b/>
                <w:sz w:val="22"/>
                <w:szCs w:val="22"/>
              </w:rPr>
              <w:t>Kokku</w:t>
            </w:r>
            <w:r>
              <w:rPr>
                <w:sz w:val="22"/>
                <w:szCs w:val="22"/>
              </w:rPr>
              <w:t xml:space="preserve"> ________eurot</w:t>
            </w:r>
          </w:p>
        </w:tc>
        <w:tc>
          <w:tcPr>
            <w:tcW w:w="340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sz w:val="22"/>
                <w:szCs w:val="22"/>
              </w:rPr>
            </w:pPr>
            <w:r>
              <w:rPr>
                <w:sz w:val="22"/>
                <w:szCs w:val="22"/>
              </w:rPr>
            </w:r>
          </w:p>
        </w:tc>
      </w:tr>
      <w:tr>
        <w:trPr>
          <w:cantSplit w:val="true"/>
        </w:trPr>
        <w:tc>
          <w:tcPr>
            <w:tcW w:w="41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sz w:val="22"/>
                <w:szCs w:val="22"/>
              </w:rPr>
            </w:pPr>
            <w:r>
              <w:rPr>
                <w:sz w:val="22"/>
                <w:szCs w:val="22"/>
              </w:rPr>
              <w:t xml:space="preserve">Käsundiandja nõustamine ehitustööde garantiiperioodil (pärast </w:t>
            </w:r>
            <w:r>
              <w:rPr>
                <w:b/>
                <w:sz w:val="22"/>
                <w:szCs w:val="22"/>
              </w:rPr>
              <w:t>3. aasta</w:t>
            </w:r>
            <w:r>
              <w:rPr>
                <w:sz w:val="22"/>
                <w:szCs w:val="22"/>
              </w:rPr>
              <w:t xml:space="preserve"> garantiiaegset ülevaatust ja ehitaja kõrvaldatud garantiiaegsete puuduste vastuvõtmist).</w:t>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b/>
                <w:b/>
                <w:sz w:val="22"/>
                <w:szCs w:val="22"/>
              </w:rPr>
            </w:pPr>
            <w:r>
              <w:rPr>
                <w:b/>
                <w:sz w:val="22"/>
                <w:szCs w:val="22"/>
              </w:rPr>
            </w:r>
          </w:p>
          <w:p>
            <w:pPr>
              <w:pStyle w:val="Normal"/>
              <w:suppressAutoHyphens w:val="true"/>
              <w:rPr>
                <w:b/>
                <w:b/>
                <w:sz w:val="22"/>
                <w:szCs w:val="22"/>
              </w:rPr>
            </w:pPr>
            <w:r>
              <w:rPr>
                <w:b/>
                <w:sz w:val="22"/>
                <w:szCs w:val="22"/>
              </w:rPr>
              <w:t xml:space="preserve">3%  </w:t>
            </w:r>
            <w:r>
              <w:rPr>
                <w:sz w:val="22"/>
                <w:szCs w:val="22"/>
              </w:rPr>
              <w:t>Lepingusummast</w:t>
            </w:r>
          </w:p>
          <w:p>
            <w:pPr>
              <w:pStyle w:val="Normal"/>
              <w:suppressAutoHyphens w:val="true"/>
              <w:rPr>
                <w:b/>
                <w:b/>
                <w:sz w:val="22"/>
                <w:szCs w:val="22"/>
              </w:rPr>
            </w:pPr>
            <w:r>
              <w:rPr>
                <w:b/>
                <w:sz w:val="22"/>
                <w:szCs w:val="22"/>
              </w:rPr>
              <w:t>Kokku ________</w:t>
            </w:r>
            <w:r>
              <w:rPr>
                <w:sz w:val="22"/>
                <w:szCs w:val="22"/>
              </w:rPr>
              <w:t>eurot</w:t>
            </w:r>
          </w:p>
        </w:tc>
        <w:tc>
          <w:tcPr>
            <w:tcW w:w="340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sz w:val="22"/>
                <w:szCs w:val="22"/>
              </w:rPr>
            </w:pPr>
            <w:r>
              <w:rPr>
                <w:sz w:val="22"/>
                <w:szCs w:val="22"/>
              </w:rPr>
            </w:r>
          </w:p>
        </w:tc>
      </w:tr>
      <w:tr>
        <w:trPr>
          <w:cantSplit w:val="true"/>
        </w:trPr>
        <w:tc>
          <w:tcPr>
            <w:tcW w:w="41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b/>
                <w:b/>
                <w:sz w:val="22"/>
                <w:szCs w:val="22"/>
              </w:rPr>
            </w:pPr>
            <w:r>
              <w:rPr>
                <w:b/>
                <w:sz w:val="22"/>
                <w:szCs w:val="22"/>
              </w:rPr>
            </w:r>
          </w:p>
          <w:p>
            <w:pPr>
              <w:pStyle w:val="Normal"/>
              <w:suppressAutoHyphens w:val="true"/>
              <w:rPr>
                <w:b/>
                <w:b/>
                <w:sz w:val="22"/>
                <w:szCs w:val="22"/>
              </w:rPr>
            </w:pPr>
            <w:r>
              <w:rPr>
                <w:b/>
                <w:sz w:val="22"/>
                <w:szCs w:val="22"/>
              </w:rPr>
              <w:t>TEENUSE ÜLDMAKSUMUS KOKKU</w:t>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b/>
                <w:b/>
                <w:sz w:val="22"/>
                <w:szCs w:val="22"/>
              </w:rPr>
            </w:pPr>
            <w:r>
              <w:rPr>
                <w:b/>
                <w:sz w:val="22"/>
                <w:szCs w:val="22"/>
              </w:rPr>
            </w:r>
          </w:p>
          <w:p>
            <w:pPr>
              <w:pStyle w:val="Normal"/>
              <w:suppressAutoHyphens w:val="true"/>
              <w:rPr>
                <w:sz w:val="22"/>
                <w:szCs w:val="22"/>
              </w:rPr>
            </w:pPr>
            <w:r>
              <w:rPr>
                <w:b/>
                <w:sz w:val="22"/>
                <w:szCs w:val="22"/>
              </w:rPr>
              <w:t>100%_________</w:t>
            </w:r>
            <w:r>
              <w:rPr>
                <w:sz w:val="22"/>
                <w:szCs w:val="22"/>
              </w:rPr>
              <w:t>eurot</w:t>
            </w:r>
          </w:p>
          <w:p>
            <w:pPr>
              <w:pStyle w:val="Normal"/>
              <w:suppressAutoHyphens w:val="true"/>
              <w:rPr>
                <w:b/>
                <w:b/>
                <w:sz w:val="22"/>
                <w:szCs w:val="22"/>
              </w:rPr>
            </w:pPr>
            <w:r>
              <w:rPr>
                <w:b/>
                <w:sz w:val="22"/>
                <w:szCs w:val="22"/>
              </w:rPr>
            </w:r>
          </w:p>
        </w:tc>
        <w:tc>
          <w:tcPr>
            <w:tcW w:w="34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sz w:val="22"/>
                <w:szCs w:val="22"/>
              </w:rPr>
            </w:pPr>
            <w:r>
              <w:rPr>
                <w:sz w:val="22"/>
                <w:szCs w:val="22"/>
              </w:rPr>
            </w:r>
          </w:p>
          <w:p>
            <w:pPr>
              <w:pStyle w:val="Normal"/>
              <w:suppressAutoHyphens w:val="true"/>
              <w:rPr>
                <w:sz w:val="22"/>
                <w:szCs w:val="22"/>
              </w:rPr>
            </w:pPr>
            <w:r>
              <w:rPr>
                <w:sz w:val="22"/>
                <w:szCs w:val="22"/>
              </w:rPr>
            </w:r>
          </w:p>
        </w:tc>
      </w:tr>
    </w:tbl>
    <w:p>
      <w:pPr>
        <w:pStyle w:val="ListParagraph"/>
        <w:tabs>
          <w:tab w:val="left" w:pos="360" w:leader="none"/>
          <w:tab w:val="left" w:pos="1440" w:leader="none"/>
        </w:tabs>
        <w:suppressAutoHyphens w:val="true"/>
        <w:ind w:left="426" w:hanging="0"/>
        <w:jc w:val="both"/>
        <w:rPr>
          <w:bCs/>
          <w:sz w:val="22"/>
          <w:szCs w:val="22"/>
          <w:highlight w:val="yellow"/>
        </w:rPr>
      </w:pPr>
      <w:r>
        <w:rPr>
          <w:bCs/>
          <w:sz w:val="22"/>
          <w:szCs w:val="22"/>
          <w:highlight w:val="yellow"/>
        </w:rPr>
      </w:r>
    </w:p>
    <w:p>
      <w:pPr>
        <w:pStyle w:val="ListParagraph"/>
        <w:numPr>
          <w:ilvl w:val="1"/>
          <w:numId w:val="3"/>
        </w:numPr>
        <w:suppressAutoHyphens w:val="true"/>
        <w:ind w:left="567" w:hanging="567"/>
        <w:jc w:val="both"/>
        <w:rPr>
          <w:bCs/>
          <w:sz w:val="22"/>
          <w:szCs w:val="22"/>
        </w:rPr>
      </w:pPr>
      <w:r>
        <w:rPr>
          <w:bCs/>
          <w:sz w:val="22"/>
          <w:szCs w:val="22"/>
        </w:rPr>
        <w:t xml:space="preserve"> </w:t>
      </w:r>
      <w:r>
        <w:rPr>
          <w:bCs/>
          <w:sz w:val="22"/>
          <w:szCs w:val="22"/>
        </w:rPr>
        <w:t>Käsundisaaja</w:t>
      </w:r>
      <w:r>
        <w:rPr>
          <w:sz w:val="22"/>
          <w:szCs w:val="22"/>
        </w:rPr>
        <w:t xml:space="preserve">t esindavad: </w:t>
      </w:r>
    </w:p>
    <w:p>
      <w:pPr>
        <w:pStyle w:val="ListParagraph"/>
        <w:numPr>
          <w:ilvl w:val="2"/>
          <w:numId w:val="3"/>
        </w:numPr>
        <w:tabs>
          <w:tab w:val="left" w:pos="360" w:leader="none"/>
          <w:tab w:val="left" w:pos="1440" w:leader="none"/>
        </w:tabs>
        <w:suppressAutoHyphens w:val="true"/>
        <w:jc w:val="both"/>
        <w:rPr>
          <w:bCs/>
          <w:sz w:val="22"/>
          <w:szCs w:val="22"/>
        </w:rPr>
      </w:pPr>
      <w:r>
        <w:rPr>
          <w:sz w:val="22"/>
          <w:szCs w:val="22"/>
        </w:rPr>
        <w:t xml:space="preserve">Tehnilistes küsimustes </w:t>
      </w:r>
      <w:r>
        <w:rPr>
          <w:sz w:val="22"/>
          <w:szCs w:val="22"/>
          <w:lang w:val="en-US"/>
        </w:rPr>
        <w:t>(sh veebikeskkonnas akteerimisel)</w:t>
      </w:r>
      <w:r>
        <w:rPr>
          <w:sz w:val="22"/>
          <w:szCs w:val="22"/>
        </w:rPr>
        <w:t xml:space="preserve">: </w:t>
      </w:r>
      <w:r>
        <w:rPr>
          <w:rFonts w:cs="Calibri"/>
          <w:sz w:val="22"/>
          <w:szCs w:val="22"/>
        </w:rPr>
        <w:t>____________, GSM _________, e-post: _________</w:t>
      </w:r>
    </w:p>
    <w:p>
      <w:pPr>
        <w:pStyle w:val="ListParagraph"/>
        <w:numPr>
          <w:ilvl w:val="2"/>
          <w:numId w:val="3"/>
        </w:numPr>
        <w:tabs>
          <w:tab w:val="left" w:pos="360" w:leader="none"/>
          <w:tab w:val="left" w:pos="1440" w:leader="none"/>
        </w:tabs>
        <w:suppressAutoHyphens w:val="true"/>
        <w:jc w:val="both"/>
        <w:rPr>
          <w:bCs/>
          <w:sz w:val="22"/>
          <w:szCs w:val="22"/>
        </w:rPr>
      </w:pPr>
      <w:r>
        <w:rPr>
          <w:sz w:val="22"/>
          <w:szCs w:val="22"/>
        </w:rPr>
        <w:t xml:space="preserve">Lepingulistes küsimustes: </w:t>
      </w:r>
      <w:r>
        <w:rPr>
          <w:rFonts w:cs="Calibri"/>
          <w:sz w:val="22"/>
          <w:szCs w:val="22"/>
        </w:rPr>
        <w:t>_____________, tel ___________, e-post: __________</w:t>
      </w:r>
    </w:p>
    <w:p>
      <w:pPr>
        <w:pStyle w:val="ListParagraph"/>
        <w:tabs>
          <w:tab w:val="left" w:pos="360" w:leader="none"/>
          <w:tab w:val="left" w:pos="1440" w:leader="none"/>
        </w:tabs>
        <w:suppressAutoHyphens w:val="true"/>
        <w:ind w:left="1080" w:hanging="0"/>
        <w:jc w:val="both"/>
        <w:rPr>
          <w:bCs/>
          <w:sz w:val="22"/>
          <w:szCs w:val="22"/>
        </w:rPr>
      </w:pPr>
      <w:r>
        <w:rPr>
          <w:bCs/>
          <w:sz w:val="22"/>
          <w:szCs w:val="22"/>
        </w:rPr>
      </w:r>
    </w:p>
    <w:p>
      <w:pPr>
        <w:pStyle w:val="ListParagraph"/>
        <w:numPr>
          <w:ilvl w:val="1"/>
          <w:numId w:val="3"/>
        </w:numPr>
        <w:suppressAutoHyphens w:val="true"/>
        <w:ind w:left="567" w:hanging="567"/>
        <w:jc w:val="both"/>
        <w:rPr>
          <w:bCs/>
          <w:sz w:val="22"/>
          <w:szCs w:val="22"/>
        </w:rPr>
      </w:pPr>
      <w:r>
        <w:rPr>
          <w:bCs/>
          <w:sz w:val="22"/>
          <w:szCs w:val="22"/>
        </w:rPr>
        <w:t>Käsundiandjat esindavad:</w:t>
      </w:r>
    </w:p>
    <w:p>
      <w:pPr>
        <w:pStyle w:val="ListParagraph"/>
        <w:numPr>
          <w:ilvl w:val="2"/>
          <w:numId w:val="3"/>
        </w:numPr>
        <w:suppressAutoHyphens w:val="true"/>
        <w:jc w:val="both"/>
        <w:rPr>
          <w:bCs/>
          <w:sz w:val="22"/>
          <w:szCs w:val="22"/>
        </w:rPr>
      </w:pPr>
      <w:r>
        <w:rPr>
          <w:sz w:val="22"/>
          <w:szCs w:val="22"/>
        </w:rPr>
        <w:t xml:space="preserve">Tehnilistes küsimustes: </w:t>
      </w:r>
    </w:p>
    <w:p>
      <w:pPr>
        <w:pStyle w:val="ListParagraph"/>
        <w:numPr>
          <w:ilvl w:val="2"/>
          <w:numId w:val="3"/>
        </w:numPr>
        <w:suppressAutoHyphens w:val="true"/>
        <w:jc w:val="both"/>
        <w:rPr>
          <w:bCs/>
          <w:sz w:val="22"/>
          <w:szCs w:val="22"/>
        </w:rPr>
      </w:pPr>
      <w:r>
        <w:rPr>
          <w:sz w:val="22"/>
          <w:szCs w:val="22"/>
        </w:rPr>
        <w:t xml:space="preserve">Lepingulistes küsimustes: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right="-1" w:hanging="0"/>
        <w:jc w:val="both"/>
        <w:rPr>
          <w:b/>
          <w:b/>
          <w:bCs/>
          <w:sz w:val="22"/>
          <w:szCs w:val="22"/>
        </w:rPr>
      </w:pPr>
      <w:r>
        <w:rPr>
          <w:b/>
          <w:bCs/>
          <w:sz w:val="22"/>
          <w:szCs w:val="22"/>
        </w:rPr>
      </w:r>
    </w:p>
    <w:p>
      <w:pPr>
        <w:pStyle w:val="Normal"/>
        <w:numPr>
          <w:ilvl w:val="1"/>
          <w:numId w:val="3"/>
        </w:numPr>
        <w:suppressAutoHyphens w:val="true"/>
        <w:jc w:val="both"/>
        <w:rPr>
          <w:rFonts w:cs="Calibri"/>
          <w:b/>
          <w:b/>
          <w:bCs/>
          <w:sz w:val="22"/>
          <w:szCs w:val="22"/>
        </w:rPr>
      </w:pPr>
      <w:r>
        <w:rPr>
          <w:rFonts w:cs="Calibri"/>
          <w:sz w:val="22"/>
          <w:szCs w:val="22"/>
        </w:rPr>
        <w:t xml:space="preserve">Käsundisaaja annab Käsundiandjale Käsundiandja nimetatud kuupäevaks ehitustööde </w:t>
      </w:r>
      <w:r>
        <w:rPr>
          <w:rFonts w:cs="Calibri"/>
          <w:b/>
          <w:sz w:val="22"/>
          <w:szCs w:val="22"/>
        </w:rPr>
        <w:t>garantiiperioodi nõustamise tagatisena</w:t>
      </w:r>
      <w:r>
        <w:rPr>
          <w:rFonts w:cs="Calibri"/>
          <w:sz w:val="22"/>
          <w:szCs w:val="22"/>
        </w:rPr>
        <w:t xml:space="preserve"> Eesti Vabariigis registreeritud krediidi-, finantseerimisasutuse või kindlustusandja väljastatud garantiikirja 10 (kümne) protsendi ulatuses Lepingu käibemaksuga hinnast (või alternatiivina deponeerib nimetatud summa …………………… arveldusarvele), millest täidetakse Käsundiandja nõuded Käsundisaaja poolsete Lepingust tulenevate kohustuste rikkumise korral. Garantii esitatakse vastavalt Lepingu lisas 4 sätestatud vormile. Garantiikirja tähtaeg peab olema 38 (kolmkümmend kaheksa) kuud alates ehitamise lõppemise päevast.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right="-1" w:hanging="0"/>
        <w:jc w:val="both"/>
        <w:rPr>
          <w:b/>
          <w:b/>
          <w:bCs/>
          <w:sz w:val="22"/>
          <w:szCs w:val="22"/>
        </w:rPr>
      </w:pPr>
      <w:r>
        <w:rPr>
          <w:b/>
          <w:bCs/>
          <w:sz w:val="22"/>
          <w:szCs w:val="22"/>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right="-1" w:hanging="0"/>
        <w:jc w:val="both"/>
        <w:rPr>
          <w:b/>
          <w:b/>
          <w:bCs/>
          <w:sz w:val="22"/>
          <w:szCs w:val="22"/>
        </w:rPr>
      </w:pPr>
      <w:r>
        <w:rPr>
          <w:b/>
          <w:bCs/>
          <w:sz w:val="22"/>
          <w:szCs w:val="22"/>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right="-1" w:hanging="0"/>
        <w:jc w:val="both"/>
        <w:rPr>
          <w:bCs/>
          <w:i/>
          <w:i/>
          <w:sz w:val="22"/>
          <w:szCs w:val="22"/>
        </w:rPr>
      </w:pPr>
      <w:r>
        <w:rPr>
          <w:bCs/>
          <w:i/>
          <w:sz w:val="22"/>
          <w:szCs w:val="22"/>
        </w:rPr>
        <w:t>/allkirjastatud digitaalselt/</w:t>
        <w:tab/>
        <w:tab/>
        <w:tab/>
        <w:tab/>
        <w:t>/allkirjastatud digitaalselt/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right="-1" w:hanging="0"/>
        <w:jc w:val="both"/>
        <w:rPr>
          <w:b/>
          <w:b/>
          <w:bCs/>
          <w:sz w:val="22"/>
          <w:szCs w:val="22"/>
        </w:rPr>
      </w:pPr>
      <w:r>
        <w:rPr>
          <w:b/>
          <w:bCs/>
          <w:sz w:val="22"/>
          <w:szCs w:val="22"/>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right="-1" w:hanging="0"/>
        <w:jc w:val="both"/>
        <w:rPr>
          <w:b/>
          <w:b/>
          <w:bCs/>
          <w:sz w:val="22"/>
          <w:szCs w:val="22"/>
        </w:rPr>
      </w:pPr>
      <w:r>
        <w:rPr>
          <w:b/>
          <w:bCs/>
          <w:sz w:val="22"/>
          <w:szCs w:val="22"/>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right="-1" w:hanging="0"/>
        <w:jc w:val="both"/>
        <w:rPr>
          <w:sz w:val="22"/>
          <w:szCs w:val="22"/>
        </w:rPr>
      </w:pPr>
      <w:r>
        <w:rPr>
          <w:b/>
          <w:bCs/>
          <w:sz w:val="22"/>
          <w:szCs w:val="22"/>
        </w:rPr>
        <w:t>Käsundiandja</w:t>
        <w:tab/>
        <w:tab/>
        <w:tab/>
        <w:tab/>
        <w:tab/>
        <w:tab/>
        <w:t>Käsundisaaja</w:t>
      </w:r>
      <w:r>
        <w:br w:type="page"/>
      </w:r>
    </w:p>
    <w:p>
      <w:pPr>
        <w:pStyle w:val="Normal"/>
        <w:ind w:left="4254" w:right="-1" w:hanging="4254"/>
        <w:rPr>
          <w:b/>
          <w:b/>
          <w:sz w:val="22"/>
          <w:szCs w:val="22"/>
        </w:rPr>
      </w:pPr>
      <w:r>
        <w:rPr>
          <w:b/>
          <w:sz w:val="22"/>
          <w:szCs w:val="22"/>
        </w:rPr>
        <w:t>LEPINGU PÕHITINGIMUSED</w:t>
      </w:r>
    </w:p>
    <w:p>
      <w:pPr>
        <w:pStyle w:val="Normal"/>
        <w:spacing w:before="120" w:after="0"/>
        <w:jc w:val="both"/>
        <w:rPr>
          <w:sz w:val="22"/>
          <w:szCs w:val="22"/>
        </w:rPr>
      </w:pPr>
      <w:r>
        <w:rPr>
          <w:sz w:val="22"/>
          <w:szCs w:val="22"/>
        </w:rPr>
      </w:r>
    </w:p>
    <w:p>
      <w:pPr>
        <w:pStyle w:val="ListParagraph"/>
        <w:numPr>
          <w:ilvl w:val="0"/>
          <w:numId w:val="1"/>
        </w:numPr>
        <w:spacing w:before="120" w:after="0"/>
        <w:contextualSpacing/>
        <w:jc w:val="both"/>
        <w:rPr>
          <w:b/>
          <w:b/>
          <w:sz w:val="22"/>
          <w:szCs w:val="22"/>
        </w:rPr>
      </w:pPr>
      <w:r>
        <w:rPr>
          <w:b/>
          <w:sz w:val="22"/>
          <w:szCs w:val="22"/>
        </w:rPr>
        <w:t>Üldsätted</w:t>
      </w:r>
    </w:p>
    <w:p>
      <w:pPr>
        <w:pStyle w:val="ListParagraph"/>
        <w:numPr>
          <w:ilvl w:val="1"/>
          <w:numId w:val="1"/>
        </w:numPr>
        <w:spacing w:before="120" w:after="0"/>
        <w:contextualSpacing/>
        <w:jc w:val="both"/>
        <w:rPr>
          <w:sz w:val="22"/>
          <w:szCs w:val="22"/>
        </w:rPr>
      </w:pPr>
      <w:r>
        <w:rPr>
          <w:sz w:val="22"/>
          <w:szCs w:val="22"/>
        </w:rPr>
        <w:t>Pooled juhinduvad Lepingu sõlmimisel ja täitmisel  Eesti Vabariigi õigusaktidest ning Lepingu dokumentidest.</w:t>
      </w:r>
    </w:p>
    <w:p>
      <w:pPr>
        <w:pStyle w:val="ListParagraph"/>
        <w:numPr>
          <w:ilvl w:val="1"/>
          <w:numId w:val="1"/>
        </w:numPr>
        <w:jc w:val="both"/>
        <w:rPr>
          <w:color w:val="000000"/>
          <w:sz w:val="22"/>
          <w:szCs w:val="22"/>
        </w:rPr>
      </w:pPr>
      <w:r>
        <w:rPr>
          <w:sz w:val="22"/>
          <w:szCs w:val="22"/>
        </w:rPr>
        <w:t>Pooled kohustuvad oma Lepingujärgse tegevuse korraldamisel lähtuma vastastikkuse heauskse koostöö põhimõtetest ning vältima teisele Poolele kahju tekitamist. Teenuse osutamisel peab Käsundisaaja lähtuma sellest, et parimal võimalikul viisil oleks tagatud Käsundiandja huvide esindatus ja kaitstus.</w:t>
      </w:r>
      <w:r>
        <w:rPr>
          <w:color w:val="000000"/>
          <w:sz w:val="22"/>
          <w:szCs w:val="22"/>
        </w:rPr>
        <w:t xml:space="preserve"> </w:t>
      </w:r>
    </w:p>
    <w:p>
      <w:pPr>
        <w:pStyle w:val="ListParagraph"/>
        <w:numPr>
          <w:ilvl w:val="1"/>
          <w:numId w:val="1"/>
        </w:numPr>
        <w:jc w:val="both"/>
        <w:rPr>
          <w:sz w:val="22"/>
          <w:szCs w:val="22"/>
        </w:rPr>
      </w:pPr>
      <w:r>
        <w:rPr>
          <w:sz w:val="22"/>
          <w:szCs w:val="22"/>
        </w:rPr>
        <w:t>Lepingu täitmisel on suhtlus- ja töökeeleks, s.h koosolekutel, ehitusobjektil ja kirjavahetuses,  eesti keel.</w:t>
      </w:r>
    </w:p>
    <w:p>
      <w:pPr>
        <w:pStyle w:val="ListParagraph"/>
        <w:numPr>
          <w:ilvl w:val="1"/>
          <w:numId w:val="1"/>
        </w:numPr>
        <w:jc w:val="both"/>
        <w:rPr>
          <w:sz w:val="22"/>
          <w:szCs w:val="22"/>
        </w:rPr>
      </w:pPr>
      <w:r>
        <w:rPr>
          <w:sz w:val="22"/>
          <w:szCs w:val="22"/>
        </w:rPr>
        <w:t xml:space="preserve">Käsundisaajal ei ole Käsundiandja esindajana muid volitusi kui on Lepingus otseselt ette nähtud. Käsundisaajal ei ole Käsundiandja nimel õigus teha tehinguid või võtta Käsundiandja nimel rahalisi kohustusi. </w:t>
      </w:r>
    </w:p>
    <w:p>
      <w:pPr>
        <w:pStyle w:val="ListParagraph"/>
        <w:numPr>
          <w:ilvl w:val="1"/>
          <w:numId w:val="1"/>
        </w:numPr>
        <w:jc w:val="both"/>
        <w:rPr>
          <w:sz w:val="22"/>
          <w:szCs w:val="22"/>
        </w:rPr>
      </w:pPr>
      <w:r>
        <w:rPr>
          <w:sz w:val="22"/>
          <w:szCs w:val="22"/>
        </w:rPr>
        <w:t xml:space="preserve">Käsundisaaja on professionaal, kes teostab Käsundiandja huvides Objekti ehitustööde omanikujärelevalvet ning aitab Käsundiandjal korraldada ja saavutada kvaliteetse Objekti tähtaegne valmimine ning käikuandmine. </w:t>
      </w:r>
    </w:p>
    <w:p>
      <w:pPr>
        <w:pStyle w:val="ListParagraph"/>
        <w:numPr>
          <w:ilvl w:val="1"/>
          <w:numId w:val="1"/>
        </w:numPr>
        <w:jc w:val="both"/>
        <w:rPr>
          <w:sz w:val="22"/>
          <w:szCs w:val="22"/>
        </w:rPr>
      </w:pPr>
      <w:r>
        <w:rPr>
          <w:sz w:val="22"/>
          <w:szCs w:val="22"/>
        </w:rPr>
        <w:t>Lepingu allakirjutamisega kinnitab Käsundisaaja, et tal on Lepingu nõuetekohaseks ja kvaliteetseks täitmiseks vajalik kvalifitseeritud tööjõud, oskusteave, kogemused,  majanduslik ja tehniline ressurss ning pädevus.</w:t>
      </w:r>
    </w:p>
    <w:p>
      <w:pPr>
        <w:pStyle w:val="ListParagraph"/>
        <w:numPr>
          <w:ilvl w:val="1"/>
          <w:numId w:val="1"/>
        </w:numPr>
        <w:tabs>
          <w:tab w:val="left" w:pos="567" w:leader="none"/>
        </w:tabs>
        <w:jc w:val="both"/>
        <w:rPr>
          <w:sz w:val="22"/>
          <w:szCs w:val="22"/>
        </w:rPr>
      </w:pPr>
      <w:r>
        <w:rPr>
          <w:sz w:val="22"/>
          <w:szCs w:val="22"/>
        </w:rPr>
        <w:t xml:space="preserve">Pooled kinnitavad, et Lepingu sõlmimisega ei ole nad rikkunud ühegi enda suhtes kehtiva õigusakti või põhikirja sätet ega ühtki varem sõlmitud lepingute ja kokkulepetega võetud kohustust. </w:t>
      </w:r>
    </w:p>
    <w:p>
      <w:pPr>
        <w:pStyle w:val="ListParagraph"/>
        <w:jc w:val="both"/>
        <w:rPr>
          <w:sz w:val="22"/>
          <w:szCs w:val="22"/>
        </w:rPr>
      </w:pPr>
      <w:r>
        <w:rPr>
          <w:sz w:val="22"/>
          <w:szCs w:val="22"/>
        </w:rPr>
      </w:r>
    </w:p>
    <w:p>
      <w:pPr>
        <w:pStyle w:val="ListParagraph"/>
        <w:numPr>
          <w:ilvl w:val="0"/>
          <w:numId w:val="1"/>
        </w:numPr>
        <w:rPr>
          <w:b/>
          <w:b/>
          <w:sz w:val="22"/>
          <w:szCs w:val="22"/>
        </w:rPr>
      </w:pPr>
      <w:r>
        <w:rPr>
          <w:b/>
          <w:sz w:val="22"/>
          <w:szCs w:val="22"/>
        </w:rPr>
        <w:t xml:space="preserve">Käsundiandja õigused ja kohustused </w:t>
      </w:r>
    </w:p>
    <w:p>
      <w:pPr>
        <w:pStyle w:val="ListParagraph"/>
        <w:numPr>
          <w:ilvl w:val="1"/>
          <w:numId w:val="1"/>
        </w:numPr>
        <w:jc w:val="both"/>
        <w:rPr>
          <w:sz w:val="22"/>
          <w:szCs w:val="22"/>
        </w:rPr>
      </w:pPr>
      <w:r>
        <w:rPr>
          <w:sz w:val="22"/>
          <w:szCs w:val="22"/>
        </w:rPr>
        <w:t>Käsundiandja õigused:</w:t>
      </w:r>
    </w:p>
    <w:p>
      <w:pPr>
        <w:pStyle w:val="ListParagraph"/>
        <w:numPr>
          <w:ilvl w:val="2"/>
          <w:numId w:val="1"/>
        </w:numPr>
        <w:ind w:left="1418" w:hanging="709"/>
        <w:jc w:val="both"/>
        <w:rPr>
          <w:sz w:val="22"/>
          <w:szCs w:val="22"/>
        </w:rPr>
      </w:pPr>
      <w:r>
        <w:rPr>
          <w:sz w:val="22"/>
          <w:szCs w:val="22"/>
        </w:rPr>
        <w:t>nõuda Käsundisaajalt Lepingus, selle dokumentides ja tulevastes lisades, samuti õigusaktides sätestatud omanikujärelevalve teostaja kohustuste ja ülesannete kohast täitmist ning keelduda oma kohustuste täitmisest kuni Käsundisaaja poolse rikkumise kõrvaldamiseni või heastamiseni;</w:t>
      </w:r>
    </w:p>
    <w:p>
      <w:pPr>
        <w:pStyle w:val="ListParagraph"/>
        <w:numPr>
          <w:ilvl w:val="2"/>
          <w:numId w:val="1"/>
        </w:numPr>
        <w:ind w:left="1418" w:hanging="709"/>
        <w:jc w:val="both"/>
        <w:rPr>
          <w:sz w:val="22"/>
          <w:szCs w:val="22"/>
        </w:rPr>
      </w:pPr>
      <w:r>
        <w:rPr>
          <w:sz w:val="22"/>
          <w:szCs w:val="22"/>
        </w:rPr>
        <w:t>kasutada kõiki Lepingus ja/või õigusaktides sätestatud õiguskaitsevahendeid Käsundisaaja poolt lepingu rikkumisel;</w:t>
      </w:r>
    </w:p>
    <w:p>
      <w:pPr>
        <w:pStyle w:val="ListParagraph"/>
        <w:numPr>
          <w:ilvl w:val="2"/>
          <w:numId w:val="1"/>
        </w:numPr>
        <w:ind w:left="1418" w:hanging="709"/>
        <w:jc w:val="both"/>
        <w:rPr>
          <w:sz w:val="22"/>
          <w:szCs w:val="22"/>
        </w:rPr>
      </w:pPr>
      <w:r>
        <w:rPr>
          <w:sz w:val="22"/>
          <w:szCs w:val="22"/>
        </w:rPr>
        <w:t>nõuda ja saada Käsundisaajalt igakülgset informatsiooni Teenuse osutamise käigu kohta ja Käsundiandja eesmärgi täitmisega seonduvaga;</w:t>
      </w:r>
    </w:p>
    <w:p>
      <w:pPr>
        <w:pStyle w:val="ListParagraph"/>
        <w:numPr>
          <w:ilvl w:val="2"/>
          <w:numId w:val="1"/>
        </w:numPr>
        <w:ind w:left="1418" w:hanging="709"/>
        <w:jc w:val="both"/>
        <w:rPr>
          <w:sz w:val="22"/>
          <w:szCs w:val="22"/>
        </w:rPr>
      </w:pPr>
      <w:r>
        <w:rPr>
          <w:sz w:val="22"/>
          <w:szCs w:val="22"/>
        </w:rPr>
        <w:t>anda Käsundisaajale ja tema personalile juhiseid ja korraldusi Lepingu täitmisel/täitmiseks;</w:t>
      </w:r>
    </w:p>
    <w:p>
      <w:pPr>
        <w:pStyle w:val="ListParagraph"/>
        <w:numPr>
          <w:ilvl w:val="2"/>
          <w:numId w:val="1"/>
        </w:numPr>
        <w:ind w:left="1418" w:hanging="709"/>
        <w:jc w:val="both"/>
        <w:rPr>
          <w:sz w:val="22"/>
          <w:szCs w:val="22"/>
        </w:rPr>
      </w:pPr>
      <w:r>
        <w:rPr>
          <w:sz w:val="22"/>
          <w:szCs w:val="22"/>
        </w:rPr>
        <w:t>vajadusel määrata Käsundisaajale kohustuslikke tähtaegasid, mille jooksul peab Käsundisaaja esitama Käsundiandjale ja/või Objekti töövõtjatele oma vastava ettepaneku, soovituse, hinnangu, heakskiidu, kinnituse või otsuse. Käsundiandja määratud tähtaeg ei tohi olla ebamõistlikult lühike ning mitte lühem kui kolm (3) tööpäeva, v.a kui tulenevalt konkreetse juhtumi  asjaoludest on lühem tähtaeg objektiivselt vajalik;</w:t>
      </w:r>
    </w:p>
    <w:p>
      <w:pPr>
        <w:pStyle w:val="ListParagraph"/>
        <w:numPr>
          <w:ilvl w:val="2"/>
          <w:numId w:val="1"/>
        </w:numPr>
        <w:ind w:left="1418" w:hanging="709"/>
        <w:jc w:val="both"/>
        <w:rPr>
          <w:sz w:val="22"/>
          <w:szCs w:val="22"/>
        </w:rPr>
      </w:pPr>
      <w:r>
        <w:rPr>
          <w:sz w:val="22"/>
          <w:szCs w:val="22"/>
        </w:rPr>
        <w:t>teostada igal ajal kontrolli ja järelevalvet Käsundisaaja poolt Teenuse osutamise üle ning nõuda Käsundisaajalt puuduste kõrvaldamist (s.h määrata tähtaeg puuduste kõrvaldamiseks);</w:t>
      </w:r>
    </w:p>
    <w:p>
      <w:pPr>
        <w:pStyle w:val="ListParagraph"/>
        <w:numPr>
          <w:ilvl w:val="2"/>
          <w:numId w:val="1"/>
        </w:numPr>
        <w:ind w:left="1418" w:hanging="709"/>
        <w:jc w:val="both"/>
        <w:rPr>
          <w:sz w:val="22"/>
          <w:szCs w:val="22"/>
        </w:rPr>
      </w:pPr>
      <w:r>
        <w:rPr>
          <w:sz w:val="22"/>
          <w:szCs w:val="22"/>
        </w:rPr>
        <w:t>edastada Käsundisaajale mistahes informatsiooni ja dokumente, mis Käsundiandja hinnangul võiksid kaasa aidata Teenuse osutamisele;</w:t>
      </w:r>
    </w:p>
    <w:p>
      <w:pPr>
        <w:pStyle w:val="ListParagraph"/>
        <w:numPr>
          <w:ilvl w:val="2"/>
          <w:numId w:val="1"/>
        </w:numPr>
        <w:ind w:left="1418" w:hanging="709"/>
        <w:jc w:val="both"/>
        <w:rPr>
          <w:sz w:val="22"/>
          <w:szCs w:val="22"/>
        </w:rPr>
      </w:pPr>
      <w:r>
        <w:rPr>
          <w:sz w:val="22"/>
          <w:szCs w:val="22"/>
        </w:rPr>
        <w:t>muud Lepingus, selle dokumentides ja lisades ning õigusaktides sätestatud õigused.</w:t>
      </w:r>
    </w:p>
    <w:p>
      <w:pPr>
        <w:pStyle w:val="Normal"/>
        <w:jc w:val="both"/>
        <w:rPr>
          <w:sz w:val="22"/>
          <w:szCs w:val="22"/>
        </w:rPr>
      </w:pPr>
      <w:r>
        <w:rPr>
          <w:sz w:val="22"/>
          <w:szCs w:val="22"/>
        </w:rPr>
      </w:r>
    </w:p>
    <w:p>
      <w:pPr>
        <w:pStyle w:val="ListParagraph"/>
        <w:numPr>
          <w:ilvl w:val="1"/>
          <w:numId w:val="1"/>
        </w:numPr>
        <w:jc w:val="both"/>
        <w:rPr>
          <w:sz w:val="22"/>
          <w:szCs w:val="22"/>
        </w:rPr>
      </w:pPr>
      <w:r>
        <w:rPr>
          <w:sz w:val="22"/>
          <w:szCs w:val="22"/>
        </w:rPr>
        <w:t xml:space="preserve"> </w:t>
      </w:r>
      <w:r>
        <w:rPr>
          <w:sz w:val="22"/>
          <w:szCs w:val="22"/>
        </w:rPr>
        <w:t>Käsundiandja kohustused:</w:t>
      </w:r>
    </w:p>
    <w:p>
      <w:pPr>
        <w:pStyle w:val="ListParagraph"/>
        <w:numPr>
          <w:ilvl w:val="2"/>
          <w:numId w:val="1"/>
        </w:numPr>
        <w:ind w:left="1418" w:hanging="720"/>
        <w:jc w:val="both"/>
        <w:rPr>
          <w:sz w:val="22"/>
          <w:szCs w:val="22"/>
        </w:rPr>
      </w:pPr>
      <w:r>
        <w:rPr>
          <w:sz w:val="22"/>
          <w:szCs w:val="22"/>
        </w:rPr>
        <w:t>tegema Käsundisaajaga aktiivset koostööd Käsundisaaja eesmärgi elluviimisel ja Teenuse osutamisel;</w:t>
      </w:r>
    </w:p>
    <w:p>
      <w:pPr>
        <w:pStyle w:val="ListParagraph"/>
        <w:numPr>
          <w:ilvl w:val="2"/>
          <w:numId w:val="1"/>
        </w:numPr>
        <w:ind w:left="1418" w:hanging="720"/>
        <w:jc w:val="both"/>
        <w:rPr>
          <w:sz w:val="22"/>
          <w:szCs w:val="22"/>
        </w:rPr>
      </w:pPr>
      <w:r>
        <w:rPr>
          <w:sz w:val="22"/>
          <w:szCs w:val="22"/>
        </w:rPr>
        <w:t>andma Käsundisaajale aktiga üle kogu asjakohase Objektiga seotud olemasoleva dokumentatsiooni, mis on Käsundisaajale vajalik Teenuse osutamiseks/osutamisel, v.a dokumentatsioon, mis on Käsundisaajale juba üle antud hankedokumentatsiooni koosseisus;</w:t>
      </w:r>
    </w:p>
    <w:p>
      <w:pPr>
        <w:pStyle w:val="ListParagraph"/>
        <w:numPr>
          <w:ilvl w:val="2"/>
          <w:numId w:val="1"/>
        </w:numPr>
        <w:ind w:left="1418" w:hanging="720"/>
        <w:jc w:val="both"/>
        <w:rPr>
          <w:sz w:val="22"/>
          <w:szCs w:val="22"/>
        </w:rPr>
      </w:pPr>
      <w:r>
        <w:rPr>
          <w:sz w:val="22"/>
          <w:szCs w:val="22"/>
        </w:rPr>
        <w:t>edastama Käsundisaajale viimase poolt õigustatult nõutud Objekti puudutavad andmed ja dokumentatsiooni, mis on Käsundisaajale vajalikud Teenuse osutamiseks, v.a andmed/dokumentatsioon, mille korraldamine ja hankimine on Käsundisaaja ülesanne või vastava Objekti töövõtja ülesanne;</w:t>
      </w:r>
    </w:p>
    <w:p>
      <w:pPr>
        <w:pStyle w:val="ListParagraph"/>
        <w:numPr>
          <w:ilvl w:val="2"/>
          <w:numId w:val="1"/>
        </w:numPr>
        <w:ind w:left="1418" w:hanging="720"/>
        <w:jc w:val="both"/>
        <w:rPr>
          <w:sz w:val="22"/>
          <w:szCs w:val="22"/>
        </w:rPr>
      </w:pPr>
      <w:r>
        <w:rPr>
          <w:sz w:val="22"/>
          <w:szCs w:val="22"/>
        </w:rPr>
        <w:t>vajadusel vormistama Käsundisaajale volikirja Käsundiandja esindamiseks;</w:t>
      </w:r>
    </w:p>
    <w:p>
      <w:pPr>
        <w:pStyle w:val="ListParagraph"/>
        <w:numPr>
          <w:ilvl w:val="2"/>
          <w:numId w:val="1"/>
        </w:numPr>
        <w:ind w:left="1418" w:hanging="720"/>
        <w:jc w:val="both"/>
        <w:rPr>
          <w:sz w:val="22"/>
          <w:szCs w:val="22"/>
        </w:rPr>
      </w:pPr>
      <w:r>
        <w:rPr>
          <w:sz w:val="22"/>
          <w:szCs w:val="22"/>
        </w:rPr>
        <w:t>tasuma Käsundisaajale kohaselt osutatud Teenuste eest vastavalt Lepingu tingimustele;</w:t>
      </w:r>
    </w:p>
    <w:p>
      <w:pPr>
        <w:pStyle w:val="ListParagraph"/>
        <w:numPr>
          <w:ilvl w:val="2"/>
          <w:numId w:val="1"/>
        </w:numPr>
        <w:ind w:left="1418" w:hanging="720"/>
        <w:jc w:val="both"/>
        <w:rPr>
          <w:sz w:val="22"/>
          <w:szCs w:val="22"/>
        </w:rPr>
      </w:pPr>
      <w:r>
        <w:rPr>
          <w:sz w:val="22"/>
          <w:szCs w:val="22"/>
        </w:rPr>
        <w:t>teavitama Käsundisaajat aegsasti igast asjaolust, mis võivad raskendada või takistada Lepingu täitmist.</w:t>
      </w:r>
    </w:p>
    <w:p>
      <w:pPr>
        <w:pStyle w:val="Normal"/>
        <w:jc w:val="both"/>
        <w:rPr>
          <w:sz w:val="22"/>
          <w:szCs w:val="22"/>
        </w:rPr>
      </w:pPr>
      <w:r>
        <w:rPr>
          <w:sz w:val="22"/>
          <w:szCs w:val="22"/>
        </w:rPr>
      </w:r>
    </w:p>
    <w:p>
      <w:pPr>
        <w:pStyle w:val="ListParagraph"/>
        <w:numPr>
          <w:ilvl w:val="0"/>
          <w:numId w:val="1"/>
        </w:numPr>
        <w:jc w:val="both"/>
        <w:rPr>
          <w:b/>
          <w:b/>
          <w:sz w:val="22"/>
          <w:szCs w:val="22"/>
        </w:rPr>
      </w:pPr>
      <w:r>
        <w:rPr>
          <w:b/>
          <w:sz w:val="22"/>
          <w:szCs w:val="22"/>
        </w:rPr>
        <w:t>Käsundisaaja õigused ja kohustused</w:t>
      </w:r>
    </w:p>
    <w:p>
      <w:pPr>
        <w:pStyle w:val="ListParagraph"/>
        <w:numPr>
          <w:ilvl w:val="1"/>
          <w:numId w:val="1"/>
        </w:numPr>
        <w:jc w:val="both"/>
        <w:rPr>
          <w:sz w:val="22"/>
          <w:szCs w:val="22"/>
        </w:rPr>
      </w:pPr>
      <w:r>
        <w:rPr>
          <w:sz w:val="22"/>
          <w:szCs w:val="22"/>
        </w:rPr>
        <w:t>Käsundisaaja õigused:</w:t>
      </w:r>
    </w:p>
    <w:p>
      <w:pPr>
        <w:pStyle w:val="ListParagraph"/>
        <w:numPr>
          <w:ilvl w:val="2"/>
          <w:numId w:val="1"/>
        </w:numPr>
        <w:ind w:left="1418" w:hanging="720"/>
        <w:jc w:val="both"/>
        <w:rPr>
          <w:sz w:val="22"/>
          <w:szCs w:val="22"/>
        </w:rPr>
      </w:pPr>
      <w:r>
        <w:rPr>
          <w:sz w:val="22"/>
          <w:szCs w:val="22"/>
        </w:rPr>
        <w:t>nõuda Käsundiandjalt Lepingus, selle dokumentides ning lisades sätestatud Käsundiandja kohustuste ja ülesannete kohast täitmist;</w:t>
      </w:r>
    </w:p>
    <w:p>
      <w:pPr>
        <w:pStyle w:val="ListParagraph"/>
        <w:numPr>
          <w:ilvl w:val="2"/>
          <w:numId w:val="1"/>
        </w:numPr>
        <w:ind w:left="1418" w:hanging="720"/>
        <w:jc w:val="both"/>
        <w:rPr>
          <w:sz w:val="22"/>
          <w:szCs w:val="22"/>
        </w:rPr>
      </w:pPr>
      <w:r>
        <w:rPr>
          <w:sz w:val="22"/>
          <w:szCs w:val="22"/>
        </w:rPr>
        <w:t>nõuda ja saada Käsundiandjalt dokumentatsiooni ja andmeid, mis on Käsundisaajale vajalikud Teenuse osutamiseks, v.a juhul, kui vastava dokumentatsiooni/andmete korraldamine on Käsundisaaja ülesanne või Objekti vastava töövõtja ülesanne;</w:t>
      </w:r>
    </w:p>
    <w:p>
      <w:pPr>
        <w:pStyle w:val="ListParagraph"/>
        <w:numPr>
          <w:ilvl w:val="2"/>
          <w:numId w:val="1"/>
        </w:numPr>
        <w:ind w:left="1418" w:hanging="720"/>
        <w:jc w:val="both"/>
        <w:rPr>
          <w:sz w:val="22"/>
          <w:szCs w:val="22"/>
        </w:rPr>
      </w:pPr>
      <w:r>
        <w:rPr>
          <w:sz w:val="22"/>
          <w:szCs w:val="22"/>
        </w:rPr>
        <w:t>nõuda kõikide Käsundiandjapoolsete ja Käsundiandjast sõltuvate takistuste kõrvaldamist Teenuse osutamisel;</w:t>
      </w:r>
    </w:p>
    <w:p>
      <w:pPr>
        <w:pStyle w:val="ListParagraph"/>
        <w:numPr>
          <w:ilvl w:val="2"/>
          <w:numId w:val="1"/>
        </w:numPr>
        <w:ind w:left="1418" w:hanging="720"/>
        <w:jc w:val="both"/>
        <w:rPr>
          <w:sz w:val="22"/>
          <w:szCs w:val="22"/>
        </w:rPr>
      </w:pPr>
      <w:r>
        <w:rPr>
          <w:sz w:val="22"/>
          <w:szCs w:val="22"/>
        </w:rPr>
        <w:t>kasutada kõiki Lepingus ja/või õigusaktides sätestatud õiguskaitsevahendeid Käsundiandja poolt Lepingu rikkumisel;</w:t>
      </w:r>
    </w:p>
    <w:p>
      <w:pPr>
        <w:pStyle w:val="ListParagraph"/>
        <w:numPr>
          <w:ilvl w:val="2"/>
          <w:numId w:val="1"/>
        </w:numPr>
        <w:ind w:left="1418" w:hanging="720"/>
        <w:jc w:val="both"/>
        <w:rPr>
          <w:sz w:val="22"/>
          <w:szCs w:val="22"/>
        </w:rPr>
      </w:pPr>
      <w:r>
        <w:rPr>
          <w:sz w:val="22"/>
          <w:szCs w:val="22"/>
        </w:rPr>
        <w:t>Õigusaktides omanikujärelevalvele sätestatud õigused;</w:t>
      </w:r>
    </w:p>
    <w:p>
      <w:pPr>
        <w:pStyle w:val="ListParagraph"/>
        <w:numPr>
          <w:ilvl w:val="2"/>
          <w:numId w:val="1"/>
        </w:numPr>
        <w:ind w:left="1418" w:hanging="720"/>
        <w:jc w:val="both"/>
        <w:rPr>
          <w:sz w:val="22"/>
          <w:szCs w:val="22"/>
        </w:rPr>
      </w:pPr>
      <w:r>
        <w:rPr>
          <w:sz w:val="22"/>
          <w:szCs w:val="22"/>
        </w:rPr>
        <w:t>muud Lepingus, selle dokumentides ja lisades sätestatud õigused.</w:t>
      </w:r>
    </w:p>
    <w:p>
      <w:pPr>
        <w:pStyle w:val="Normal"/>
        <w:jc w:val="both"/>
        <w:rPr>
          <w:sz w:val="22"/>
          <w:szCs w:val="22"/>
        </w:rPr>
      </w:pPr>
      <w:r>
        <w:rPr>
          <w:sz w:val="22"/>
          <w:szCs w:val="22"/>
        </w:rPr>
      </w:r>
    </w:p>
    <w:p>
      <w:pPr>
        <w:pStyle w:val="ListParagraph"/>
        <w:numPr>
          <w:ilvl w:val="1"/>
          <w:numId w:val="1"/>
        </w:numPr>
        <w:jc w:val="both"/>
        <w:rPr>
          <w:sz w:val="22"/>
          <w:szCs w:val="22"/>
        </w:rPr>
      </w:pPr>
      <w:r>
        <w:rPr>
          <w:sz w:val="22"/>
          <w:szCs w:val="22"/>
        </w:rPr>
        <w:t>Käsundisaaja kohustused:</w:t>
      </w:r>
    </w:p>
    <w:p>
      <w:pPr>
        <w:pStyle w:val="ListParagraph"/>
        <w:numPr>
          <w:ilvl w:val="2"/>
          <w:numId w:val="1"/>
        </w:numPr>
        <w:ind w:left="1418" w:hanging="720"/>
        <w:jc w:val="both"/>
        <w:rPr>
          <w:sz w:val="22"/>
          <w:szCs w:val="22"/>
        </w:rPr>
      </w:pPr>
      <w:r>
        <w:rPr>
          <w:sz w:val="22"/>
          <w:szCs w:val="22"/>
        </w:rPr>
        <w:t>Lepingus, selle dokumentides ja tulevastes lisades, samuti õigusaktides sätestatud omanikujärelevalve teostaja kohustused;</w:t>
      </w:r>
    </w:p>
    <w:p>
      <w:pPr>
        <w:pStyle w:val="ListParagraph"/>
        <w:numPr>
          <w:ilvl w:val="2"/>
          <w:numId w:val="1"/>
        </w:numPr>
        <w:ind w:left="1418" w:hanging="720"/>
        <w:jc w:val="both"/>
        <w:rPr>
          <w:color w:val="000000"/>
          <w:sz w:val="22"/>
          <w:szCs w:val="22"/>
        </w:rPr>
      </w:pPr>
      <w:r>
        <w:rPr>
          <w:sz w:val="22"/>
          <w:szCs w:val="22"/>
        </w:rPr>
        <w:t>tagama Teenuse osutamisel Käsundiandja õiguste ja huvide kaitse ning esindatuse parimal võimalikul viisil;</w:t>
      </w:r>
    </w:p>
    <w:p>
      <w:pPr>
        <w:pStyle w:val="ListParagraph"/>
        <w:numPr>
          <w:ilvl w:val="2"/>
          <w:numId w:val="1"/>
        </w:numPr>
        <w:ind w:left="1418" w:hanging="720"/>
        <w:jc w:val="both"/>
        <w:rPr>
          <w:color w:val="000000"/>
          <w:sz w:val="22"/>
          <w:szCs w:val="22"/>
        </w:rPr>
      </w:pPr>
      <w:r>
        <w:rPr>
          <w:color w:val="000000"/>
          <w:sz w:val="22"/>
          <w:szCs w:val="22"/>
        </w:rPr>
        <w:t>teavitama Käsundiandjat kirjalikult viivitamatult, kuid mitte hiljem kui kahe (2) tööpäeva jooksul arvates vastava asjaolu ilmnemisest:</w:t>
      </w:r>
    </w:p>
    <w:p>
      <w:pPr>
        <w:pStyle w:val="ListParagraph"/>
        <w:numPr>
          <w:ilvl w:val="3"/>
          <w:numId w:val="1"/>
        </w:numPr>
        <w:ind w:left="2127" w:hanging="720"/>
        <w:jc w:val="both"/>
        <w:rPr>
          <w:color w:val="000000"/>
          <w:sz w:val="22"/>
          <w:szCs w:val="22"/>
        </w:rPr>
      </w:pPr>
      <w:r>
        <w:rPr>
          <w:color w:val="000000"/>
          <w:sz w:val="22"/>
          <w:szCs w:val="22"/>
        </w:rPr>
        <w:t>igast asjaolust, mis võib ohustada või rikkuda Käsundiandja õigusi ja huvisid Käsundiandja eesmärgi elluviimisel, s.h igast asjaolust, mis võib negatiivselt mõjutada Käsundiandja eesmärgi saavutamise kulgu ja maksumust;</w:t>
      </w:r>
    </w:p>
    <w:p>
      <w:pPr>
        <w:pStyle w:val="ListParagraph"/>
        <w:numPr>
          <w:ilvl w:val="3"/>
          <w:numId w:val="1"/>
        </w:numPr>
        <w:ind w:left="2127" w:hanging="720"/>
        <w:jc w:val="both"/>
        <w:rPr>
          <w:color w:val="000000"/>
          <w:sz w:val="22"/>
          <w:szCs w:val="22"/>
        </w:rPr>
      </w:pPr>
      <w:r>
        <w:rPr>
          <w:color w:val="000000"/>
          <w:sz w:val="22"/>
          <w:szCs w:val="22"/>
        </w:rPr>
        <w:t>igast asjaolust, mis võib takistada või ohustada Käsundiandja eesmärgi saavutamist, s.h Käsundiandjalt saadud informatsiooni, lähteandmete, dokumentide puudustest/vigadest ning samuti ohust, et Käsundiandja juhise, otsuse vms järgmine võib mõjutada negatiivselt Teenuse ja/või Objekti tööde kvaliteeti ja/või Käsundiandja eesmärke/huvisid;</w:t>
      </w:r>
    </w:p>
    <w:p>
      <w:pPr>
        <w:pStyle w:val="ListParagraph"/>
        <w:numPr>
          <w:ilvl w:val="2"/>
          <w:numId w:val="1"/>
        </w:numPr>
        <w:ind w:left="1418" w:hanging="720"/>
        <w:jc w:val="both"/>
        <w:rPr>
          <w:sz w:val="22"/>
          <w:szCs w:val="22"/>
        </w:rPr>
      </w:pPr>
      <w:r>
        <w:rPr>
          <w:sz w:val="22"/>
          <w:szCs w:val="22"/>
        </w:rPr>
        <w:t xml:space="preserve">saama Käsundiandja eelneva heakskiidu Käsundisaaja otsustele ja toimingutele, mis mõjutavad: </w:t>
      </w:r>
    </w:p>
    <w:p>
      <w:pPr>
        <w:pStyle w:val="ListParagraph"/>
        <w:numPr>
          <w:ilvl w:val="3"/>
          <w:numId w:val="1"/>
        </w:numPr>
        <w:ind w:left="2127" w:hanging="720"/>
        <w:jc w:val="both"/>
        <w:rPr>
          <w:sz w:val="22"/>
          <w:szCs w:val="22"/>
        </w:rPr>
      </w:pPr>
      <w:r>
        <w:rPr>
          <w:color w:val="000000"/>
          <w:sz w:val="22"/>
          <w:szCs w:val="22"/>
        </w:rPr>
        <w:t>Käsundiandja eesmärgi saavutamise</w:t>
      </w:r>
      <w:r>
        <w:rPr>
          <w:sz w:val="22"/>
          <w:szCs w:val="22"/>
        </w:rPr>
        <w:t xml:space="preserve"> kulgu ja/või maksumuse suurenemist;</w:t>
      </w:r>
    </w:p>
    <w:p>
      <w:pPr>
        <w:pStyle w:val="ListParagraph"/>
        <w:numPr>
          <w:ilvl w:val="3"/>
          <w:numId w:val="1"/>
        </w:numPr>
        <w:ind w:left="2127" w:hanging="720"/>
        <w:jc w:val="both"/>
        <w:rPr>
          <w:sz w:val="22"/>
          <w:szCs w:val="22"/>
        </w:rPr>
      </w:pPr>
      <w:r>
        <w:rPr>
          <w:sz w:val="22"/>
          <w:szCs w:val="22"/>
        </w:rPr>
        <w:t xml:space="preserve"> </w:t>
      </w:r>
      <w:r>
        <w:rPr>
          <w:sz w:val="22"/>
          <w:szCs w:val="22"/>
        </w:rPr>
        <w:t>Käsundiandja õiguste kitsendamist ja/või kohustuste mahu suurenemist;</w:t>
      </w:r>
    </w:p>
    <w:p>
      <w:pPr>
        <w:pStyle w:val="ListParagraph"/>
        <w:numPr>
          <w:ilvl w:val="3"/>
          <w:numId w:val="1"/>
        </w:numPr>
        <w:ind w:left="2127" w:hanging="720"/>
        <w:jc w:val="both"/>
        <w:rPr>
          <w:sz w:val="22"/>
          <w:szCs w:val="22"/>
        </w:rPr>
      </w:pPr>
      <w:r>
        <w:rPr>
          <w:sz w:val="22"/>
          <w:szCs w:val="22"/>
        </w:rPr>
        <w:t>samuti muudele Käsundisaaja otsustele ja toimingutele, mis võivad Käsundiandjale kaasa tuua täiendavaid rahalisi kohustusi.</w:t>
      </w:r>
    </w:p>
    <w:p>
      <w:pPr>
        <w:pStyle w:val="ListParagraph"/>
        <w:numPr>
          <w:ilvl w:val="2"/>
          <w:numId w:val="1"/>
        </w:numPr>
        <w:ind w:left="1418" w:hanging="720"/>
        <w:jc w:val="both"/>
        <w:rPr>
          <w:sz w:val="22"/>
          <w:szCs w:val="22"/>
        </w:rPr>
      </w:pPr>
      <w:r>
        <w:rPr>
          <w:sz w:val="22"/>
          <w:szCs w:val="22"/>
        </w:rPr>
        <w:t>kinni pidama kõigis Lepingus ja Käsundiandjaga/töövõtjatega koostöös kokkulepitud vahe- ja lõpptähtaegadest;</w:t>
      </w:r>
    </w:p>
    <w:p>
      <w:pPr>
        <w:pStyle w:val="ListParagraph"/>
        <w:numPr>
          <w:ilvl w:val="2"/>
          <w:numId w:val="1"/>
        </w:numPr>
        <w:ind w:left="1418" w:hanging="720"/>
        <w:jc w:val="both"/>
        <w:rPr>
          <w:sz w:val="22"/>
          <w:szCs w:val="22"/>
        </w:rPr>
      </w:pPr>
      <w:r>
        <w:rPr>
          <w:sz w:val="22"/>
          <w:szCs w:val="22"/>
        </w:rPr>
        <w:t>esitama oma ettepanekud, soovitused, hinnangud, heakskiidud, kinnitused ja otsused nii kiiresti kui võimalik või juhul, kui Käsundiandja on määranud Käsundisaajale esitamiseks konkreetse tähtaja, siis selle tähtaja jooksul;</w:t>
      </w:r>
    </w:p>
    <w:p>
      <w:pPr>
        <w:pStyle w:val="ListParagraph"/>
        <w:numPr>
          <w:ilvl w:val="2"/>
          <w:numId w:val="1"/>
        </w:numPr>
        <w:ind w:left="1418" w:hanging="720"/>
        <w:jc w:val="both"/>
        <w:rPr>
          <w:sz w:val="22"/>
          <w:szCs w:val="22"/>
        </w:rPr>
      </w:pPr>
      <w:r>
        <w:rPr>
          <w:sz w:val="22"/>
          <w:szCs w:val="22"/>
        </w:rPr>
        <w:t>hankima oma kulul kõik Teenuse osutamiseks vajalikud seadmed, materjalid, tööjõu ja vahendid.</w:t>
      </w:r>
    </w:p>
    <w:p>
      <w:pPr>
        <w:pStyle w:val="ListParagraph"/>
        <w:numPr>
          <w:ilvl w:val="2"/>
          <w:numId w:val="1"/>
        </w:numPr>
        <w:ind w:left="1418" w:hanging="720"/>
        <w:jc w:val="both"/>
        <w:rPr>
          <w:sz w:val="22"/>
          <w:szCs w:val="22"/>
          <w:u w:val="single"/>
        </w:rPr>
      </w:pPr>
      <w:r>
        <w:rPr>
          <w:sz w:val="22"/>
          <w:szCs w:val="22"/>
          <w:u w:val="single"/>
        </w:rPr>
        <w:t xml:space="preserve">rakendama Lepingu täitmisel pakkumuse koosseisus esitatud tööprogrammi ning selles esitatud põhimõtteid ja lubadusi. </w:t>
      </w:r>
      <w:r>
        <w:rPr>
          <w:sz w:val="22"/>
          <w:szCs w:val="22"/>
        </w:rPr>
        <w:t>Käsundiandjal on õigus nõuda tööprogrammist ja punktis 4.1. nimetatud isikute kaasamise nõudest kinnipidamist ning mittetäitmise korral punktis 10.4 sätestatud leppetrahvi tasumist (100 eurot). Nõudest kõrvalekaldumist loetakse hea tava rikkumiseks. Samuti on Käsundiandjal õigus korduva rikkumise korral peatada tööde tegemine ning sõlmitud leping üles öelda.</w:t>
      </w:r>
    </w:p>
    <w:p>
      <w:pPr>
        <w:pStyle w:val="ListParagraph"/>
        <w:ind w:left="1418" w:hanging="0"/>
        <w:jc w:val="both"/>
        <w:rPr>
          <w:sz w:val="22"/>
          <w:szCs w:val="22"/>
        </w:rPr>
      </w:pPr>
      <w:r>
        <w:rPr>
          <w:sz w:val="22"/>
          <w:szCs w:val="22"/>
        </w:rPr>
      </w:r>
    </w:p>
    <w:p>
      <w:pPr>
        <w:pStyle w:val="Normal"/>
        <w:tabs>
          <w:tab w:val="left" w:pos="-1980" w:leader="none"/>
          <w:tab w:val="left" w:pos="0" w:leader="none"/>
          <w:tab w:val="left" w:pos="567" w:leader="none"/>
        </w:tabs>
        <w:ind w:right="-59" w:hanging="0"/>
        <w:jc w:val="both"/>
        <w:rPr>
          <w:sz w:val="22"/>
          <w:szCs w:val="22"/>
        </w:rPr>
      </w:pPr>
      <w:r>
        <w:rPr>
          <w:sz w:val="22"/>
          <w:szCs w:val="22"/>
        </w:rPr>
      </w:r>
    </w:p>
    <w:p>
      <w:pPr>
        <w:pStyle w:val="ListParagraph"/>
        <w:numPr>
          <w:ilvl w:val="0"/>
          <w:numId w:val="1"/>
        </w:numPr>
        <w:ind w:left="720" w:hanging="436"/>
        <w:jc w:val="both"/>
        <w:rPr>
          <w:b/>
          <w:b/>
          <w:color w:val="000000"/>
          <w:sz w:val="22"/>
          <w:szCs w:val="22"/>
        </w:rPr>
      </w:pPr>
      <w:r>
        <w:rPr>
          <w:b/>
          <w:color w:val="000000"/>
          <w:sz w:val="22"/>
          <w:szCs w:val="22"/>
        </w:rPr>
        <w:t>Käsundisaaja personal ja tugiteenused</w:t>
      </w:r>
    </w:p>
    <w:p>
      <w:pPr>
        <w:pStyle w:val="ListParagraph"/>
        <w:numPr>
          <w:ilvl w:val="1"/>
          <w:numId w:val="1"/>
        </w:numPr>
        <w:ind w:left="709" w:hanging="425"/>
        <w:jc w:val="both"/>
        <w:rPr>
          <w:sz w:val="22"/>
          <w:szCs w:val="22"/>
        </w:rPr>
      </w:pPr>
      <w:r>
        <w:rPr>
          <w:sz w:val="22"/>
          <w:szCs w:val="22"/>
        </w:rPr>
        <w:t xml:space="preserve">Käsundisaaja peab Lepingu täitma pakkumuses (sh tööprogrammis) näidatud võtmeisikute ja spetsialistidega. </w:t>
      </w:r>
    </w:p>
    <w:p>
      <w:pPr>
        <w:pStyle w:val="ListParagraph"/>
        <w:numPr>
          <w:ilvl w:val="1"/>
          <w:numId w:val="1"/>
        </w:numPr>
        <w:ind w:left="709" w:hanging="425"/>
        <w:jc w:val="both"/>
        <w:rPr>
          <w:sz w:val="22"/>
          <w:szCs w:val="22"/>
        </w:rPr>
      </w:pPr>
      <w:r>
        <w:rPr>
          <w:sz w:val="22"/>
          <w:szCs w:val="22"/>
        </w:rPr>
        <w:t xml:space="preserve"> </w:t>
      </w:r>
      <w:r>
        <w:rPr>
          <w:sz w:val="22"/>
          <w:szCs w:val="22"/>
        </w:rPr>
        <w:t>Käsundisaaja poolt alltöövõtjate/allhankijate kaasamine Lepingu täitmisesse eeldab Käsundiandja eelnevat kirjalikku nõusolekut. Käsundiandja kirjaliku nõusoleku saamiseks esitab Käsundisaaja kirjaliku taotluse. Käsundiandja annab nõusoleku või esitab vastu</w:t>
        <w:softHyphen/>
        <w:t>väited 5 (viie) tööpäeva jooksul Käsundisaaja nõuete</w:t>
        <w:softHyphen/>
        <w:t xml:space="preserve">kohase taotluse esitamisest arvates. </w:t>
      </w:r>
    </w:p>
    <w:p>
      <w:pPr>
        <w:pStyle w:val="ListParagraph"/>
        <w:numPr>
          <w:ilvl w:val="1"/>
          <w:numId w:val="1"/>
        </w:numPr>
        <w:spacing w:before="0" w:after="60"/>
        <w:ind w:left="709" w:hanging="425"/>
        <w:contextualSpacing/>
        <w:jc w:val="both"/>
        <w:rPr>
          <w:sz w:val="22"/>
          <w:szCs w:val="22"/>
        </w:rPr>
      </w:pPr>
      <w:r>
        <w:rPr>
          <w:sz w:val="22"/>
          <w:szCs w:val="22"/>
        </w:rPr>
        <w:t>Käsundisaaja alltöövõtulepingutest ei tulene mingeid lepingulisi suhteid Käsundisaaja alltöövõtja ja Käsundiandja vahel ning Käsundisaaja vastutab Käsundiandja ees täielikult oma alltöövõtjate tegevuse/tegevusetuse eest.</w:t>
      </w:r>
    </w:p>
    <w:p>
      <w:pPr>
        <w:pStyle w:val="ListParagraph"/>
        <w:numPr>
          <w:ilvl w:val="1"/>
          <w:numId w:val="1"/>
        </w:numPr>
        <w:spacing w:before="0" w:after="60"/>
        <w:ind w:left="709" w:hanging="425"/>
        <w:contextualSpacing/>
        <w:jc w:val="both"/>
        <w:rPr>
          <w:sz w:val="22"/>
          <w:szCs w:val="22"/>
        </w:rPr>
      </w:pPr>
      <w:r>
        <w:rPr>
          <w:sz w:val="22"/>
          <w:szCs w:val="22"/>
        </w:rPr>
        <w:t xml:space="preserve">Käsundisaaja pakkumuses toodud võtmeisikute või spetsialistide muutmine või väljavahetamine eeldab Käsundiandja eelnevat kirjalikku nõusolekut. Võtmeisikute või spetsialistide vahetamine Teenuse osutamise käigus on võimalik üksnes samaväärse isiku vastu ning </w:t>
      </w:r>
      <w:r>
        <w:rPr>
          <w:sz w:val="22"/>
          <w:szCs w:val="22"/>
          <w:u w:val="single"/>
        </w:rPr>
        <w:t>vaid mõjuvatel põhjustel (surm, pikaajaline töövõimetus, töösuhte lõpetamine)</w:t>
      </w:r>
      <w:r>
        <w:rPr>
          <w:sz w:val="22"/>
          <w:szCs w:val="22"/>
        </w:rPr>
        <w:t xml:space="preserve">. Käsundisaaja on kohustatud Käsundiandja nõudmisel esitama kaasatud spetsialistide kogemust ning oskuseid tõendavaid dokumente. </w:t>
      </w:r>
    </w:p>
    <w:p>
      <w:pPr>
        <w:pStyle w:val="ListParagraph"/>
        <w:numPr>
          <w:ilvl w:val="1"/>
          <w:numId w:val="1"/>
        </w:numPr>
        <w:ind w:left="709" w:hanging="425"/>
        <w:jc w:val="both"/>
        <w:rPr>
          <w:sz w:val="22"/>
          <w:szCs w:val="22"/>
        </w:rPr>
      </w:pPr>
      <w:r>
        <w:rPr>
          <w:sz w:val="22"/>
          <w:szCs w:val="22"/>
        </w:rPr>
        <w:t>Käsundisaaja kohustub asendama oma meeskonna liikme või alltöövõtja Käsundiandja nõudmisel, kui vastav isik on Käsundiandja hinnangul ebakompetentne või vastava isiku puhul ilmnevad asjaolud, mis on vastuolus riigihanke hankedokumentides esitatud nõuetega või muul viisil seavad Käsundiandja hinnangul ohtu Käsundiandja eesmärgi saavutamise või Lepingu kohase täitmise.</w:t>
      </w:r>
    </w:p>
    <w:p>
      <w:pPr>
        <w:pStyle w:val="ListParagraph"/>
        <w:numPr>
          <w:ilvl w:val="1"/>
          <w:numId w:val="1"/>
        </w:numPr>
        <w:tabs>
          <w:tab w:val="left" w:pos="1440" w:leader="none"/>
        </w:tabs>
        <w:ind w:left="709" w:hanging="425"/>
        <w:jc w:val="both"/>
        <w:rPr>
          <w:sz w:val="22"/>
          <w:szCs w:val="22"/>
        </w:rPr>
      </w:pPr>
      <w:r>
        <w:rPr>
          <w:sz w:val="22"/>
          <w:szCs w:val="22"/>
        </w:rPr>
        <w:t xml:space="preserve">Käsundisaaja kannab kõik kulud, mis on seotud Teenuse osutamisega, Käsundisaaja personaliga ja allöövõtjate/allhankijatega. </w:t>
      </w:r>
    </w:p>
    <w:p>
      <w:pPr>
        <w:pStyle w:val="Normal"/>
        <w:jc w:val="both"/>
        <w:rPr>
          <w:sz w:val="22"/>
          <w:szCs w:val="22"/>
        </w:rPr>
      </w:pPr>
      <w:r>
        <w:rPr>
          <w:sz w:val="22"/>
          <w:szCs w:val="22"/>
        </w:rPr>
      </w:r>
    </w:p>
    <w:p>
      <w:pPr>
        <w:pStyle w:val="ListParagraph"/>
        <w:numPr>
          <w:ilvl w:val="0"/>
          <w:numId w:val="1"/>
        </w:numPr>
        <w:tabs>
          <w:tab w:val="left" w:pos="851" w:leader="none"/>
        </w:tabs>
        <w:jc w:val="both"/>
        <w:rPr>
          <w:b/>
          <w:b/>
          <w:sz w:val="22"/>
          <w:szCs w:val="22"/>
        </w:rPr>
      </w:pPr>
      <w:r>
        <w:rPr>
          <w:b/>
          <w:sz w:val="22"/>
          <w:szCs w:val="22"/>
        </w:rPr>
        <w:t>Huvide konflikt</w:t>
      </w:r>
    </w:p>
    <w:p>
      <w:pPr>
        <w:pStyle w:val="ListParagraph"/>
        <w:numPr>
          <w:ilvl w:val="1"/>
          <w:numId w:val="1"/>
        </w:numPr>
        <w:jc w:val="both"/>
        <w:rPr>
          <w:sz w:val="22"/>
          <w:szCs w:val="22"/>
        </w:rPr>
      </w:pPr>
      <w:r>
        <w:rPr>
          <w:color w:val="000000"/>
          <w:sz w:val="22"/>
          <w:szCs w:val="22"/>
        </w:rPr>
        <w:t xml:space="preserve"> </w:t>
      </w:r>
      <w:r>
        <w:rPr>
          <w:sz w:val="22"/>
          <w:szCs w:val="22"/>
        </w:rPr>
        <w:t>Teenuse osutamisel peab Käsundisaaja lähtuma sellest, et parimal võimalikul viisil oleks tagatud Käsundiandja huvide esindatus ja kaitstus.</w:t>
      </w:r>
      <w:r>
        <w:rPr>
          <w:color w:val="000000"/>
          <w:sz w:val="22"/>
          <w:szCs w:val="22"/>
        </w:rPr>
        <w:t xml:space="preserve"> Käsundisaaja peab jääma sõltumatuks Objekti projekteerijatest, ehitajatest, paigaldatavate ehitustoodete ja konstruktsioonide hankijatest/valmistajatest ning samuti muudest isikutest ja asjaoludest, mille tõttu ta ei saaks olla objektiivne Käsundiandja huvide esindamisel ja kaitsmisel.</w:t>
      </w:r>
    </w:p>
    <w:p>
      <w:pPr>
        <w:pStyle w:val="ListParagraph"/>
        <w:numPr>
          <w:ilvl w:val="1"/>
          <w:numId w:val="1"/>
        </w:numPr>
        <w:jc w:val="both"/>
        <w:rPr>
          <w:sz w:val="22"/>
          <w:szCs w:val="22"/>
        </w:rPr>
      </w:pPr>
      <w:r>
        <w:rPr>
          <w:sz w:val="22"/>
          <w:szCs w:val="22"/>
        </w:rPr>
        <w:t>Kui Teenuste osutamise ajal ilmnevad Käsundisaaja huvide konflikt või selle tekke võimalus, samuti Käsundisaaja objektiivsust või sõltumatust vääravad asjaolud, on Käsundisaaja kohustatud sellest Käsundiandjat viivitamatult kirjalikult informeerima.</w:t>
      </w:r>
    </w:p>
    <w:p>
      <w:pPr>
        <w:pStyle w:val="ListParagraph"/>
        <w:numPr>
          <w:ilvl w:val="1"/>
          <w:numId w:val="1"/>
        </w:numPr>
        <w:tabs>
          <w:tab w:val="left" w:pos="0" w:leader="none"/>
          <w:tab w:val="left" w:pos="567" w:leader="none"/>
        </w:tabs>
        <w:jc w:val="both"/>
        <w:rPr>
          <w:sz w:val="22"/>
          <w:szCs w:val="22"/>
        </w:rPr>
      </w:pPr>
      <w:r>
        <w:rPr>
          <w:sz w:val="22"/>
          <w:szCs w:val="22"/>
        </w:rPr>
        <w:t>Käsundisaaja hoidub kontaktidest, mis võiksid ohustada tema või tema töötajate sõltumatust. Kui Käsundisaaja ei säilita sellist sõltumatust, võib Käsundiandja, ilma et see piiraks tema õigust võimalikule kahjuhüvitisele, Lepingu lõpetada, esitades vastava kirjaliku lõpetamisavalduse.</w:t>
      </w:r>
    </w:p>
    <w:p>
      <w:pPr>
        <w:pStyle w:val="ListParagraph"/>
        <w:numPr>
          <w:ilvl w:val="1"/>
          <w:numId w:val="1"/>
        </w:numPr>
        <w:tabs>
          <w:tab w:val="left" w:pos="0" w:leader="none"/>
          <w:tab w:val="left" w:pos="567" w:leader="none"/>
        </w:tabs>
        <w:jc w:val="both"/>
        <w:rPr>
          <w:sz w:val="22"/>
          <w:szCs w:val="22"/>
        </w:rPr>
      </w:pPr>
      <w:r>
        <w:rPr>
          <w:sz w:val="22"/>
          <w:szCs w:val="22"/>
        </w:rPr>
        <w:t>Lepingu allakirjutamisega kinnitab Käsundisaaja, et puudub tema ja Käsundiandja huvide konflikt.</w:t>
      </w:r>
    </w:p>
    <w:p>
      <w:pPr>
        <w:pStyle w:val="Normal"/>
        <w:jc w:val="both"/>
        <w:rPr>
          <w:sz w:val="22"/>
          <w:szCs w:val="22"/>
        </w:rPr>
      </w:pPr>
      <w:r>
        <w:rPr>
          <w:sz w:val="22"/>
          <w:szCs w:val="22"/>
        </w:rPr>
      </w:r>
    </w:p>
    <w:p>
      <w:pPr>
        <w:pStyle w:val="ListParagraph"/>
        <w:numPr>
          <w:ilvl w:val="0"/>
          <w:numId w:val="1"/>
        </w:numPr>
        <w:spacing w:before="120" w:after="0"/>
        <w:contextualSpacing/>
        <w:jc w:val="both"/>
        <w:rPr>
          <w:b/>
          <w:b/>
          <w:sz w:val="22"/>
          <w:szCs w:val="22"/>
        </w:rPr>
      </w:pPr>
      <w:r>
        <w:rPr>
          <w:b/>
          <w:sz w:val="22"/>
          <w:szCs w:val="22"/>
        </w:rPr>
        <w:t>Lepinguhind</w:t>
      </w:r>
    </w:p>
    <w:p>
      <w:pPr>
        <w:pStyle w:val="ListParagraph"/>
        <w:numPr>
          <w:ilvl w:val="1"/>
          <w:numId w:val="1"/>
        </w:numPr>
        <w:jc w:val="both"/>
        <w:rPr>
          <w:sz w:val="22"/>
          <w:szCs w:val="22"/>
        </w:rPr>
      </w:pPr>
      <w:r>
        <w:rPr>
          <w:sz w:val="22"/>
          <w:szCs w:val="22"/>
        </w:rPr>
        <w:t>Lepinguhind hõlmab endas kõiki Käsundisaaja tasusid ning kulusid, mida Käsundisaajal on õigus Lepingus sätestatud kohustuste nõuetekohasel täitmisel saada.</w:t>
      </w:r>
    </w:p>
    <w:p>
      <w:pPr>
        <w:pStyle w:val="ListParagraph"/>
        <w:numPr>
          <w:ilvl w:val="1"/>
          <w:numId w:val="1"/>
        </w:numPr>
        <w:tabs>
          <w:tab w:val="left" w:pos="851" w:leader="none"/>
        </w:tabs>
        <w:jc w:val="both"/>
        <w:rPr>
          <w:sz w:val="22"/>
          <w:szCs w:val="22"/>
        </w:rPr>
      </w:pPr>
      <w:r>
        <w:rPr>
          <w:sz w:val="22"/>
          <w:szCs w:val="22"/>
        </w:rPr>
        <w:t xml:space="preserve"> </w:t>
      </w:r>
      <w:r>
        <w:rPr>
          <w:sz w:val="22"/>
          <w:szCs w:val="22"/>
        </w:rPr>
        <w:t>Lepinguhind ei sõltu Käsundisaaja kulutuste suurenemisest ja/või Käsundisaaja alltöövõtjate poolt tehtavate kulutuste või neile makstavate tasude suurenemisest Teenuse osutamisel, inflatsioonist või mistahes muudest asjaoludest ning on seega lõplik.</w:t>
      </w:r>
    </w:p>
    <w:p>
      <w:pPr>
        <w:pStyle w:val="Normal"/>
        <w:numPr>
          <w:ilvl w:val="1"/>
          <w:numId w:val="1"/>
        </w:numPr>
        <w:ind w:left="851" w:hanging="425"/>
        <w:jc w:val="both"/>
        <w:rPr>
          <w:sz w:val="22"/>
          <w:szCs w:val="22"/>
        </w:rPr>
      </w:pPr>
      <w:r>
        <w:rPr>
          <w:sz w:val="22"/>
          <w:szCs w:val="22"/>
        </w:rPr>
        <w:t xml:space="preserve">Lepinguhinda ei muudeta juhul, kui mistahes põhjustel tekib Objekti ehitustööde seisak või ehitustöid ei alustata planeeritud tähtajal ning seoses sellega planeeritud Teenuse osutamise lõpptähtaeg muutub, kuid ei muutu tegelik Teenuse teostamise kestus. Kuna ettenägematu seisaku puhul ei saa Käsundisaaja täita oma Lepingulisi kohustusi, siis seisaku aja eest ei ole Käsundiandjal ka maksekohustust. </w:t>
      </w:r>
    </w:p>
    <w:p>
      <w:pPr>
        <w:pStyle w:val="ListParagraph"/>
        <w:tabs>
          <w:tab w:val="left" w:pos="0" w:leader="none"/>
        </w:tabs>
        <w:ind w:left="644" w:hanging="0"/>
        <w:jc w:val="both"/>
        <w:rPr>
          <w:sz w:val="22"/>
          <w:szCs w:val="22"/>
          <w:lang w:val="fi-FI"/>
        </w:rPr>
      </w:pPr>
      <w:r>
        <w:rPr>
          <w:sz w:val="22"/>
          <w:szCs w:val="22"/>
          <w:lang w:val="fi-FI"/>
        </w:rPr>
      </w:r>
    </w:p>
    <w:p>
      <w:pPr>
        <w:pStyle w:val="ListParagraph"/>
        <w:numPr>
          <w:ilvl w:val="0"/>
          <w:numId w:val="1"/>
        </w:numPr>
        <w:spacing w:before="120" w:after="0"/>
        <w:contextualSpacing/>
        <w:jc w:val="both"/>
        <w:rPr>
          <w:b/>
          <w:b/>
          <w:sz w:val="22"/>
          <w:szCs w:val="22"/>
        </w:rPr>
      </w:pPr>
      <w:r>
        <w:rPr>
          <w:b/>
          <w:sz w:val="22"/>
          <w:szCs w:val="22"/>
        </w:rPr>
        <w:t>Aruandlus ja tasumine</w:t>
      </w:r>
    </w:p>
    <w:p>
      <w:pPr>
        <w:pStyle w:val="ListParagraph"/>
        <w:numPr>
          <w:ilvl w:val="1"/>
          <w:numId w:val="1"/>
        </w:numPr>
        <w:tabs>
          <w:tab w:val="left" w:pos="567" w:leader="none"/>
          <w:tab w:val="left" w:pos="851" w:leader="none"/>
        </w:tabs>
        <w:jc w:val="both"/>
        <w:rPr>
          <w:sz w:val="22"/>
          <w:szCs w:val="22"/>
        </w:rPr>
      </w:pPr>
      <w:r>
        <w:rPr>
          <w:sz w:val="22"/>
          <w:szCs w:val="22"/>
        </w:rPr>
        <w:t>Teenuse eest tasumise aluseks on Käsundisaaja esitatav igakuine tegevusaruanne (Tegevusaruanne), Käsundiandja aktsepteeritud ning Käsundiandja kehtestatud vormil Käsundisaaja teostatud Teenuste rahaline akt (Akt) ja arve.</w:t>
      </w:r>
    </w:p>
    <w:p>
      <w:pPr>
        <w:pStyle w:val="ListParagraph"/>
        <w:numPr>
          <w:ilvl w:val="1"/>
          <w:numId w:val="1"/>
        </w:numPr>
        <w:tabs>
          <w:tab w:val="left" w:pos="567" w:leader="none"/>
          <w:tab w:val="left" w:pos="851" w:leader="none"/>
        </w:tabs>
        <w:jc w:val="both"/>
        <w:rPr>
          <w:sz w:val="22"/>
          <w:szCs w:val="22"/>
        </w:rPr>
      </w:pPr>
      <w:r>
        <w:rPr>
          <w:sz w:val="22"/>
          <w:szCs w:val="22"/>
        </w:rPr>
        <w:t>Käsundiandja kinnitab Käsundisaaja Tegevusaruande ja Akti hiljemalt üleandmise päevale järgneva kümne (10) tööpäeva jooksul või esitab sama tähtaja jooksul aruande kinnitamise keeldumise koos vastuväidetega ja argumenteeritud põhjendustega Tegevusaruande ja Akti kinnitamisest keeldumise kohta. Käsundisaaja kõrvaldab/korrigeerib mittevastavused ja puudused Teenuse osutamises/ja või vahearuandes ning esitab pärast mittevastavuste ja puuduste kõrvaldamist Tegevusaruande ja Akti Käsundiandjale uuesti kinnitamiseks. Kui Käsundisaaja ei ole mittevastavusi ja puudusi kõrvaldanud, on Käsundiandjal õigus keelduda Tegevusaruande ja Akti kinnitamisest kuni puuduste kõrvaldamiseni. Kui Käsundiandja ei kinnita Tegevusaruannet ja Akti üksnes mingis osas, näitab ta motiveeritult ära summa, millises osas (summas) ta kinnitab Tegevusaruande ja Akti ja millises osas keeldub kinnitamast. Sellisel juhul koostatakse arve osas, millega Käsundiandja nõustus kui kohaselt teostatuga ning selle eest tasub Käsundiandja Lepinguga ettenähtud korras.</w:t>
      </w:r>
    </w:p>
    <w:p>
      <w:pPr>
        <w:pStyle w:val="Normal"/>
        <w:numPr>
          <w:ilvl w:val="1"/>
          <w:numId w:val="1"/>
        </w:numPr>
        <w:ind w:left="720" w:hanging="482"/>
        <w:jc w:val="both"/>
        <w:rPr>
          <w:sz w:val="22"/>
          <w:szCs w:val="22"/>
        </w:rPr>
      </w:pPr>
      <w:r>
        <w:rPr>
          <w:sz w:val="22"/>
          <w:szCs w:val="22"/>
        </w:rPr>
        <w:t>Käsundiandja kohustub tasuma Käsundisaaja esitatud arved kolmekümmne (30) kalendripäeva jooksul vastava arve kättesaamisest, eeldusega, et vastav Tegevusaruanne ja Akt on Käsundiandja poolt aktsepteeritud. Käsundiandja poolse pretensiooni esinemise korral lükkub arve tasumise tähtaeg edasi pretensiooni lahendamiseni, millest arvates kohustub Käsundiandja kolmekümmne (30) kalendripäeva jooksul arve tasuma.</w:t>
      </w:r>
    </w:p>
    <w:p>
      <w:pPr>
        <w:pStyle w:val="ListParagraph"/>
        <w:keepNext w:val="true"/>
        <w:numPr>
          <w:ilvl w:val="0"/>
          <w:numId w:val="1"/>
        </w:numPr>
        <w:spacing w:before="240" w:after="120"/>
        <w:contextualSpacing/>
        <w:jc w:val="both"/>
        <w:rPr>
          <w:b/>
          <w:b/>
          <w:sz w:val="22"/>
          <w:szCs w:val="22"/>
        </w:rPr>
      </w:pPr>
      <w:r>
        <w:rPr>
          <w:b/>
          <w:sz w:val="22"/>
          <w:szCs w:val="22"/>
        </w:rPr>
        <w:t xml:space="preserve">Lepingu kehtivus </w:t>
      </w:r>
    </w:p>
    <w:p>
      <w:pPr>
        <w:pStyle w:val="ListParagraph"/>
        <w:keepNext w:val="true"/>
        <w:numPr>
          <w:ilvl w:val="1"/>
          <w:numId w:val="1"/>
        </w:numPr>
        <w:jc w:val="both"/>
        <w:rPr>
          <w:sz w:val="22"/>
          <w:szCs w:val="22"/>
        </w:rPr>
      </w:pPr>
      <w:r>
        <w:rPr>
          <w:sz w:val="22"/>
          <w:szCs w:val="22"/>
        </w:rPr>
        <w:t xml:space="preserve">Leping jõustub allakirjutamise hetkest ja kehtib kuni Poolte poolt oma Lepingust tulenevate kohustuste nõuetekohase täitmiseni. </w:t>
      </w:r>
    </w:p>
    <w:p>
      <w:pPr>
        <w:pStyle w:val="Normal"/>
        <w:ind w:left="360" w:hanging="0"/>
        <w:jc w:val="both"/>
        <w:rPr>
          <w:b/>
          <w:b/>
          <w:sz w:val="22"/>
          <w:szCs w:val="22"/>
        </w:rPr>
      </w:pPr>
      <w:r>
        <w:rPr>
          <w:b/>
          <w:sz w:val="22"/>
          <w:szCs w:val="22"/>
        </w:rPr>
      </w:r>
    </w:p>
    <w:p>
      <w:pPr>
        <w:pStyle w:val="ListParagraph"/>
        <w:numPr>
          <w:ilvl w:val="0"/>
          <w:numId w:val="1"/>
        </w:numPr>
        <w:jc w:val="both"/>
        <w:rPr>
          <w:b/>
          <w:b/>
          <w:sz w:val="22"/>
          <w:szCs w:val="22"/>
        </w:rPr>
      </w:pPr>
      <w:r>
        <w:rPr>
          <w:b/>
          <w:sz w:val="22"/>
          <w:szCs w:val="22"/>
        </w:rPr>
        <w:t>Lepingu ennetähtaegne lõpetamine</w:t>
      </w:r>
    </w:p>
    <w:p>
      <w:pPr>
        <w:pStyle w:val="ListParagraph"/>
        <w:numPr>
          <w:ilvl w:val="1"/>
          <w:numId w:val="1"/>
        </w:numPr>
        <w:tabs>
          <w:tab w:val="left" w:pos="709" w:leader="none"/>
          <w:tab w:val="left" w:pos="851" w:leader="none"/>
        </w:tabs>
        <w:ind w:left="709" w:hanging="360"/>
        <w:jc w:val="both"/>
        <w:rPr>
          <w:sz w:val="22"/>
          <w:szCs w:val="22"/>
        </w:rPr>
      </w:pPr>
      <w:r>
        <w:rPr>
          <w:sz w:val="22"/>
          <w:szCs w:val="22"/>
        </w:rPr>
        <w:t>Mõlemal Poolel on õigus Leping ühepoolselt etteteatamistähtajata üles öelda kui teine Pool osutub maksejõuetuks või teise Poole suhtes kuulutatakse välja pankrot. Juhul kui Käsundiandja kasutab eelkirjeldatud ülesütlemise võimalust, on Käsundisaaja kohustatud tasuma leppetrahvi kakskümmend viis (25) % Lepinguhinnast.</w:t>
      </w:r>
    </w:p>
    <w:p>
      <w:pPr>
        <w:pStyle w:val="ListParagraph"/>
        <w:numPr>
          <w:ilvl w:val="1"/>
          <w:numId w:val="1"/>
        </w:numPr>
        <w:tabs>
          <w:tab w:val="left" w:pos="709" w:leader="none"/>
          <w:tab w:val="left" w:pos="851" w:leader="none"/>
        </w:tabs>
        <w:ind w:left="709" w:hanging="360"/>
        <w:jc w:val="both"/>
        <w:rPr>
          <w:sz w:val="22"/>
          <w:szCs w:val="22"/>
        </w:rPr>
      </w:pPr>
      <w:r>
        <w:rPr>
          <w:sz w:val="22"/>
          <w:szCs w:val="22"/>
        </w:rPr>
        <w:t>Käsundiandjal on õigus Leping igal ajal ühepoolselt lõpetada (korraline lõpetamine), teatades sellest Käsundisaajale kirjalikult ette vähemalt viiskümmend (50) kalendripäeva. Sellisel juhul tasub Käsundiandja Käsundisaajale kuni Lepingu lõpetamise jõustumiseni (Lepingu lõppemiseni) osutatud Teenuste eest. Käsundisaajal ei ole õigust nõuda tasu etteulatuvalt kogu vastava Makseposti raames ega mistahes muude kulude, hüvitiste või loodetud tulu maksmist, vaid üksnes tasu seni tehtud ja osutatud Teenuste eest, mis on Käsundiandja poolt tasumata Lepingu lõpetamise jõustumise hetkeks.</w:t>
      </w:r>
    </w:p>
    <w:p>
      <w:pPr>
        <w:pStyle w:val="ListParagraph"/>
        <w:numPr>
          <w:ilvl w:val="1"/>
          <w:numId w:val="1"/>
        </w:numPr>
        <w:tabs>
          <w:tab w:val="left" w:pos="709" w:leader="none"/>
          <w:tab w:val="left" w:pos="851" w:leader="none"/>
        </w:tabs>
        <w:ind w:left="709" w:hanging="360"/>
        <w:jc w:val="both"/>
        <w:rPr>
          <w:sz w:val="22"/>
          <w:szCs w:val="22"/>
        </w:rPr>
      </w:pPr>
      <w:r>
        <w:rPr>
          <w:sz w:val="22"/>
          <w:szCs w:val="22"/>
        </w:rPr>
        <w:t>Punktis 9.2 sätestatud Lepingu lõpetamise teate (avalduse) saamisest arvates peab Käsundisaaja viima oma kulutused miinimumini, sealjuures jätkates oma kohustuste nõuetekohast täitmist. Pooled kooskõlastavad Käsundisaaja töökava eelseisvaks perioodiks kuni Lepingu lõpetamise jõustumiseni.</w:t>
      </w:r>
    </w:p>
    <w:p>
      <w:pPr>
        <w:pStyle w:val="ListParagraph"/>
        <w:numPr>
          <w:ilvl w:val="1"/>
          <w:numId w:val="1"/>
        </w:numPr>
        <w:tabs>
          <w:tab w:val="left" w:pos="709" w:leader="none"/>
          <w:tab w:val="left" w:pos="851" w:leader="none"/>
        </w:tabs>
        <w:ind w:left="709" w:hanging="360"/>
        <w:jc w:val="both"/>
        <w:rPr>
          <w:sz w:val="22"/>
          <w:szCs w:val="22"/>
        </w:rPr>
      </w:pPr>
      <w:r>
        <w:rPr>
          <w:sz w:val="22"/>
          <w:szCs w:val="22"/>
        </w:rPr>
        <w:t>Poolel on õigus Leping üles öelda juhul, kui mistahes põhjustel tekib Objekti ehitustööde teostamisel seisak, mille kestus on pikem kui neli (4) kuud või ehitustööde algus viibib rohkem kui neli (4) kuud. Juhul, kui Leping öeldakse üles käesolevas punktis nimetatud põhjusel, tasub Käsundiandja Käsundisaajale enne seisaku algust osutatud Teenuse täitmise eest.</w:t>
      </w:r>
    </w:p>
    <w:p>
      <w:pPr>
        <w:pStyle w:val="ListParagraph"/>
        <w:numPr>
          <w:ilvl w:val="1"/>
          <w:numId w:val="1"/>
        </w:numPr>
        <w:tabs>
          <w:tab w:val="left" w:pos="709" w:leader="none"/>
          <w:tab w:val="left" w:pos="851" w:leader="none"/>
        </w:tabs>
        <w:ind w:left="709" w:hanging="360"/>
        <w:jc w:val="both"/>
        <w:rPr>
          <w:sz w:val="22"/>
          <w:szCs w:val="22"/>
        </w:rPr>
      </w:pPr>
      <w:r>
        <w:rPr>
          <w:sz w:val="22"/>
          <w:szCs w:val="22"/>
        </w:rPr>
        <w:t>Käsundisaajal on õigus Leping ühepoolselt Käsundiandja rikkumise tõttu etteteatamis tähtajata üles öelda, kui:</w:t>
      </w:r>
    </w:p>
    <w:p>
      <w:pPr>
        <w:pStyle w:val="ListParagraph"/>
        <w:numPr>
          <w:ilvl w:val="2"/>
          <w:numId w:val="1"/>
        </w:numPr>
        <w:tabs>
          <w:tab w:val="left" w:pos="851" w:leader="none"/>
          <w:tab w:val="left" w:pos="1701" w:leader="none"/>
        </w:tabs>
        <w:ind w:left="1418" w:hanging="709"/>
        <w:jc w:val="both"/>
        <w:rPr>
          <w:sz w:val="22"/>
          <w:szCs w:val="22"/>
        </w:rPr>
      </w:pPr>
      <w:r>
        <w:rPr>
          <w:sz w:val="22"/>
          <w:szCs w:val="22"/>
        </w:rPr>
        <w:t>Käsundiandja on arve tasumisega põhjendamatult viivituses enam kui kakskümmend viis (25) kalendripäeva ning ei tasu arvet ka nimetatud tähtaja möödumise järgselt Käsundisaaja poolt antud vähemalt 10-kalendripäevase täiendava tähtaja jooksul;</w:t>
      </w:r>
    </w:p>
    <w:p>
      <w:pPr>
        <w:pStyle w:val="ListParagraph"/>
        <w:numPr>
          <w:ilvl w:val="2"/>
          <w:numId w:val="1"/>
        </w:numPr>
        <w:tabs>
          <w:tab w:val="left" w:pos="851" w:leader="none"/>
          <w:tab w:val="left" w:pos="1701" w:leader="none"/>
        </w:tabs>
        <w:ind w:left="1418" w:hanging="709"/>
        <w:jc w:val="both"/>
        <w:rPr>
          <w:sz w:val="22"/>
          <w:szCs w:val="22"/>
        </w:rPr>
      </w:pPr>
      <w:r>
        <w:rPr>
          <w:sz w:val="22"/>
          <w:szCs w:val="22"/>
        </w:rPr>
        <w:t>Käsundiandja rikub Lepingujärgset kohustust ning ei täida kohustust ka Käsundisaaja poolt täitmiseks antud mõistliku kestusega täiendava tähtaja jooksul.</w:t>
      </w:r>
    </w:p>
    <w:p>
      <w:pPr>
        <w:pStyle w:val="ListParagraph"/>
        <w:numPr>
          <w:ilvl w:val="1"/>
          <w:numId w:val="1"/>
        </w:numPr>
        <w:tabs>
          <w:tab w:val="left" w:pos="709" w:leader="none"/>
          <w:tab w:val="left" w:pos="851" w:leader="none"/>
        </w:tabs>
        <w:jc w:val="both"/>
        <w:rPr>
          <w:sz w:val="22"/>
          <w:szCs w:val="22"/>
        </w:rPr>
      </w:pPr>
      <w:r>
        <w:rPr>
          <w:sz w:val="22"/>
          <w:szCs w:val="22"/>
        </w:rPr>
        <w:t>Käsundiandjal on õigus Leping ühepoolselt Käsundisaaja rikkumise tõttu etteteatamis tähtajata üles öelda võlaõigusseaduses sätestatud juhtudel ning samuti juhul:</w:t>
      </w:r>
    </w:p>
    <w:p>
      <w:pPr>
        <w:pStyle w:val="ListParagraph"/>
        <w:numPr>
          <w:ilvl w:val="2"/>
          <w:numId w:val="1"/>
        </w:numPr>
        <w:tabs>
          <w:tab w:val="left" w:pos="851" w:leader="none"/>
          <w:tab w:val="left" w:pos="1134" w:leader="none"/>
        </w:tabs>
        <w:ind w:left="1418" w:hanging="720"/>
        <w:jc w:val="both"/>
        <w:rPr>
          <w:sz w:val="22"/>
          <w:szCs w:val="22"/>
        </w:rPr>
      </w:pPr>
      <w:r>
        <w:rPr>
          <w:sz w:val="22"/>
          <w:szCs w:val="22"/>
        </w:rPr>
        <w:t>kui ilmneb, et Käsundisaaja on esitanud pakkumuses valeandmeid;</w:t>
      </w:r>
    </w:p>
    <w:p>
      <w:pPr>
        <w:pStyle w:val="ListParagraph"/>
        <w:numPr>
          <w:ilvl w:val="2"/>
          <w:numId w:val="1"/>
        </w:numPr>
        <w:tabs>
          <w:tab w:val="left" w:pos="851" w:leader="none"/>
          <w:tab w:val="left" w:pos="1134" w:leader="none"/>
        </w:tabs>
        <w:ind w:left="1418" w:hanging="720"/>
        <w:jc w:val="both"/>
        <w:rPr>
          <w:sz w:val="22"/>
          <w:szCs w:val="22"/>
        </w:rPr>
      </w:pPr>
      <w:r>
        <w:rPr>
          <w:sz w:val="22"/>
          <w:szCs w:val="22"/>
        </w:rPr>
        <w:t>kui Käsundisaaja rikub Lepingujärgset kohustust ning ei täida kohustust ka  Käsundiandja poolt täitmiseks antud mõistliku kestusega täiendava tähtaja jooksul.</w:t>
      </w:r>
    </w:p>
    <w:p>
      <w:pPr>
        <w:pStyle w:val="Normal"/>
        <w:rPr>
          <w:sz w:val="22"/>
          <w:szCs w:val="22"/>
        </w:rPr>
      </w:pPr>
      <w:r>
        <w:rPr>
          <w:sz w:val="22"/>
          <w:szCs w:val="22"/>
        </w:rPr>
      </w:r>
      <w:r>
        <w:br w:type="page"/>
      </w:r>
    </w:p>
    <w:p>
      <w:pPr>
        <w:pStyle w:val="ListParagraph"/>
        <w:numPr>
          <w:ilvl w:val="0"/>
          <w:numId w:val="1"/>
        </w:numPr>
        <w:tabs>
          <w:tab w:val="left" w:pos="851" w:leader="none"/>
        </w:tabs>
        <w:jc w:val="both"/>
        <w:rPr>
          <w:b/>
          <w:b/>
          <w:sz w:val="22"/>
          <w:szCs w:val="22"/>
        </w:rPr>
      </w:pPr>
      <w:r>
        <w:rPr>
          <w:b/>
          <w:sz w:val="22"/>
          <w:szCs w:val="22"/>
        </w:rPr>
        <w:t xml:space="preserve"> </w:t>
      </w:r>
      <w:r>
        <w:rPr>
          <w:b/>
          <w:sz w:val="22"/>
          <w:szCs w:val="22"/>
        </w:rPr>
        <w:t>Poolte vastutus, viivised ja leppetrahvid</w:t>
      </w:r>
    </w:p>
    <w:p>
      <w:pPr>
        <w:pStyle w:val="ListParagraph"/>
        <w:numPr>
          <w:ilvl w:val="1"/>
          <w:numId w:val="1"/>
        </w:numPr>
        <w:ind w:left="993" w:hanging="567"/>
        <w:jc w:val="both"/>
        <w:rPr>
          <w:sz w:val="22"/>
          <w:szCs w:val="22"/>
        </w:rPr>
      </w:pPr>
      <w:r>
        <w:rPr>
          <w:sz w:val="22"/>
          <w:szCs w:val="22"/>
        </w:rPr>
        <w:t>Pooled kannavad täielikku varalist vastutust Lepingu tingimuste täitmata jätmise või mittekohase täitmisega teisele Poolele tekitatud kahju eest selle kahju ulatuses v.a saamata jäänud tulu hüvitamine kahjustatud Poolele. Pool ei vastuta kohustuse rikkumise eest, kui see oli põhjustatud vääramatust jõust võlaõigusseaduse tähenduses.</w:t>
      </w:r>
    </w:p>
    <w:p>
      <w:pPr>
        <w:pStyle w:val="ListParagraph"/>
        <w:numPr>
          <w:ilvl w:val="1"/>
          <w:numId w:val="1"/>
        </w:numPr>
        <w:tabs>
          <w:tab w:val="left" w:pos="0" w:leader="none"/>
        </w:tabs>
        <w:ind w:left="993" w:hanging="567"/>
        <w:jc w:val="both"/>
        <w:rPr>
          <w:sz w:val="22"/>
          <w:szCs w:val="22"/>
        </w:rPr>
      </w:pPr>
      <w:r>
        <w:rPr>
          <w:sz w:val="22"/>
          <w:szCs w:val="22"/>
        </w:rPr>
        <w:t>Käsundisaaja on professionaal ning Käsundiandja heakskiidu või kinnituse andmine mistahes Käsundisaaja otsusele, ettepanekule, lahendusele või dokumendile ei välista Käsundisaaja kui vastava  otsuse tegija, ettepaneku/kinnituse esitaja, dokumendi väljatöötaja vastutust ega vabasta Käsundisaajat vastutusest oma kohustuste rikkumise ja selle tagajärgede eest.</w:t>
      </w:r>
    </w:p>
    <w:p>
      <w:pPr>
        <w:pStyle w:val="ListParagraph"/>
        <w:numPr>
          <w:ilvl w:val="1"/>
          <w:numId w:val="1"/>
        </w:numPr>
        <w:tabs>
          <w:tab w:val="left" w:pos="0" w:leader="none"/>
          <w:tab w:val="left" w:pos="567" w:leader="none"/>
          <w:tab w:val="left" w:pos="851" w:leader="none"/>
        </w:tabs>
        <w:ind w:left="993" w:hanging="567"/>
        <w:jc w:val="both"/>
        <w:rPr>
          <w:color w:val="000000" w:themeColor="text1"/>
          <w:sz w:val="22"/>
          <w:szCs w:val="22"/>
        </w:rPr>
      </w:pPr>
      <w:r>
        <w:rPr>
          <w:sz w:val="22"/>
          <w:szCs w:val="22"/>
        </w:rPr>
        <w:t>Käsundiandja poolt arve tasumisega viivitamisel on Käsundisaajal õigus nõuda viivist null koma üks (0,1</w:t>
      </w:r>
      <w:r>
        <w:rPr>
          <w:color w:val="000000" w:themeColor="text1"/>
          <w:sz w:val="22"/>
          <w:szCs w:val="22"/>
        </w:rPr>
        <w:t>%) protsenti tähtajaks tasumata summalt iga viivitatud kalendripäeva eest, kuid viivisena kokku mitte rohkem kui kakskümmend (20) protsenti vastavast õigeaegselt tasumata arvest.</w:t>
      </w:r>
    </w:p>
    <w:p>
      <w:pPr>
        <w:pStyle w:val="ListParagraph"/>
        <w:numPr>
          <w:ilvl w:val="1"/>
          <w:numId w:val="1"/>
        </w:numPr>
        <w:ind w:left="993" w:hanging="567"/>
        <w:jc w:val="both"/>
        <w:rPr>
          <w:color w:val="000000" w:themeColor="text1"/>
          <w:sz w:val="22"/>
          <w:szCs w:val="22"/>
        </w:rPr>
      </w:pPr>
      <w:r>
        <w:rPr>
          <w:color w:val="000000" w:themeColor="text1"/>
          <w:sz w:val="22"/>
          <w:szCs w:val="22"/>
        </w:rPr>
        <w:t xml:space="preserve">Käsundiandjal on õigus nõuda Käsundisaajalt leppetrahvi vastavalt allolevale tabelile või Käsundisaaja mistahes muu kohustuse igakordse rikkumise puhul summas </w:t>
      </w:r>
      <w:r>
        <w:rPr>
          <w:b/>
          <w:color w:val="000000" w:themeColor="text1"/>
          <w:sz w:val="22"/>
          <w:szCs w:val="22"/>
        </w:rPr>
        <w:t>ükssada (100)</w:t>
      </w:r>
      <w:r>
        <w:rPr>
          <w:color w:val="000000" w:themeColor="text1"/>
          <w:sz w:val="22"/>
          <w:szCs w:val="22"/>
        </w:rPr>
        <w:t xml:space="preserve"> eurot iga Käsundisaaja kohustuse rikkumise juhtumi eest. Leppetrahvi nõudmine ei välista Käsundiandja õigust täiendavalt nõuda rikkumisega tekitatud kahju hüvitamist või hinna alandamist. </w:t>
      </w:r>
    </w:p>
    <w:tbl>
      <w:tblPr>
        <w:tblStyle w:val="Kontuurtabel"/>
        <w:tblW w:w="8249" w:type="dxa"/>
        <w:jc w:val="left"/>
        <w:tblInd w:w="993" w:type="dxa"/>
        <w:tblCellMar>
          <w:top w:w="0" w:type="dxa"/>
          <w:left w:w="108" w:type="dxa"/>
          <w:bottom w:w="0" w:type="dxa"/>
          <w:right w:w="108" w:type="dxa"/>
        </w:tblCellMar>
        <w:tblLook w:firstRow="1" w:noVBand="1" w:lastRow="0" w:firstColumn="1" w:lastColumn="0" w:noHBand="0" w:val="04a0"/>
      </w:tblPr>
      <w:tblGrid>
        <w:gridCol w:w="3226"/>
        <w:gridCol w:w="3119"/>
        <w:gridCol w:w="1904"/>
      </w:tblGrid>
      <w:tr>
        <w:trPr/>
        <w:tc>
          <w:tcPr>
            <w:tcW w:w="3226" w:type="dxa"/>
            <w:tcBorders/>
            <w:shd w:fill="auto" w:val="clear"/>
          </w:tcPr>
          <w:p>
            <w:pPr>
              <w:pStyle w:val="ListParagraph"/>
              <w:suppressAutoHyphens w:val="true"/>
              <w:ind w:left="0" w:hanging="0"/>
              <w:jc w:val="both"/>
              <w:rPr>
                <w:color w:val="000000" w:themeColor="text1"/>
                <w:sz w:val="22"/>
                <w:szCs w:val="22"/>
              </w:rPr>
            </w:pPr>
            <w:r>
              <w:rPr>
                <w:color w:val="000000" w:themeColor="text1"/>
                <w:sz w:val="22"/>
                <w:szCs w:val="22"/>
              </w:rPr>
              <w:t>Tehnilises kirjelduses kirjeldatud tegevuste mittetäitmine</w:t>
            </w:r>
          </w:p>
        </w:tc>
        <w:tc>
          <w:tcPr>
            <w:tcW w:w="3119" w:type="dxa"/>
            <w:tcBorders/>
            <w:shd w:fill="auto" w:val="clear"/>
          </w:tcPr>
          <w:p>
            <w:pPr>
              <w:pStyle w:val="ListParagraph"/>
              <w:suppressAutoHyphens w:val="true"/>
              <w:ind w:left="0" w:hanging="0"/>
              <w:jc w:val="both"/>
              <w:rPr>
                <w:color w:val="000000" w:themeColor="text1"/>
                <w:sz w:val="22"/>
                <w:szCs w:val="22"/>
              </w:rPr>
            </w:pPr>
            <w:r>
              <w:rPr>
                <w:color w:val="000000" w:themeColor="text1"/>
                <w:sz w:val="22"/>
                <w:szCs w:val="22"/>
              </w:rPr>
              <w:t>1 kord</w:t>
            </w:r>
          </w:p>
        </w:tc>
        <w:tc>
          <w:tcPr>
            <w:tcW w:w="1904" w:type="dxa"/>
            <w:tcBorders/>
            <w:shd w:fill="auto" w:val="clear"/>
          </w:tcPr>
          <w:p>
            <w:pPr>
              <w:pStyle w:val="ListParagraph"/>
              <w:suppressAutoHyphens w:val="true"/>
              <w:ind w:left="0" w:hanging="0"/>
              <w:jc w:val="both"/>
              <w:rPr>
                <w:color w:val="000000" w:themeColor="text1"/>
                <w:sz w:val="22"/>
                <w:szCs w:val="22"/>
              </w:rPr>
            </w:pPr>
            <w:r>
              <w:rPr>
                <w:color w:val="000000" w:themeColor="text1"/>
                <w:sz w:val="22"/>
                <w:szCs w:val="22"/>
              </w:rPr>
              <w:t>100 €</w:t>
            </w:r>
          </w:p>
        </w:tc>
      </w:tr>
      <w:tr>
        <w:trPr/>
        <w:tc>
          <w:tcPr>
            <w:tcW w:w="3226" w:type="dxa"/>
            <w:tcBorders/>
            <w:shd w:fill="auto" w:val="clear"/>
          </w:tcPr>
          <w:p>
            <w:pPr>
              <w:pStyle w:val="ListParagraph"/>
              <w:suppressAutoHyphens w:val="true"/>
              <w:ind w:left="0" w:hanging="0"/>
              <w:jc w:val="both"/>
              <w:rPr>
                <w:color w:val="000000" w:themeColor="text1"/>
                <w:sz w:val="22"/>
                <w:szCs w:val="22"/>
              </w:rPr>
            </w:pPr>
            <w:r>
              <w:rPr>
                <w:color w:val="000000" w:themeColor="text1"/>
                <w:sz w:val="22"/>
                <w:szCs w:val="22"/>
              </w:rPr>
              <w:t>Põhjuseta objektil kokkulepitud tööajal mitte viibimine</w:t>
            </w:r>
          </w:p>
        </w:tc>
        <w:tc>
          <w:tcPr>
            <w:tcW w:w="3119" w:type="dxa"/>
            <w:tcBorders/>
            <w:shd w:fill="auto" w:val="clear"/>
          </w:tcPr>
          <w:p>
            <w:pPr>
              <w:pStyle w:val="ListParagraph"/>
              <w:suppressAutoHyphens w:val="true"/>
              <w:ind w:left="0" w:hanging="0"/>
              <w:jc w:val="both"/>
              <w:rPr>
                <w:color w:val="000000" w:themeColor="text1"/>
                <w:sz w:val="22"/>
                <w:szCs w:val="22"/>
              </w:rPr>
            </w:pPr>
            <w:r>
              <w:rPr>
                <w:color w:val="000000" w:themeColor="text1"/>
                <w:sz w:val="22"/>
                <w:szCs w:val="22"/>
              </w:rPr>
              <w:t>1 kord</w:t>
            </w:r>
          </w:p>
        </w:tc>
        <w:tc>
          <w:tcPr>
            <w:tcW w:w="1904" w:type="dxa"/>
            <w:tcBorders/>
            <w:shd w:fill="auto" w:val="clear"/>
          </w:tcPr>
          <w:p>
            <w:pPr>
              <w:pStyle w:val="ListParagraph"/>
              <w:suppressAutoHyphens w:val="true"/>
              <w:ind w:left="0" w:hanging="0"/>
              <w:jc w:val="both"/>
              <w:rPr>
                <w:color w:val="000000" w:themeColor="text1"/>
                <w:sz w:val="22"/>
                <w:szCs w:val="22"/>
              </w:rPr>
            </w:pPr>
            <w:r>
              <w:rPr>
                <w:color w:val="000000" w:themeColor="text1"/>
                <w:sz w:val="22"/>
                <w:szCs w:val="22"/>
              </w:rPr>
              <w:t>100€</w:t>
            </w:r>
          </w:p>
        </w:tc>
      </w:tr>
      <w:tr>
        <w:trPr/>
        <w:tc>
          <w:tcPr>
            <w:tcW w:w="3226" w:type="dxa"/>
            <w:tcBorders/>
            <w:shd w:fill="auto" w:val="clear"/>
          </w:tcPr>
          <w:p>
            <w:pPr>
              <w:pStyle w:val="Normal"/>
              <w:suppressAutoHyphens w:val="true"/>
              <w:jc w:val="both"/>
              <w:rPr>
                <w:color w:val="000000" w:themeColor="text1"/>
                <w:sz w:val="22"/>
                <w:szCs w:val="22"/>
              </w:rPr>
            </w:pPr>
            <w:r>
              <w:rPr>
                <w:color w:val="000000" w:themeColor="text1"/>
                <w:sz w:val="22"/>
                <w:szCs w:val="22"/>
              </w:rPr>
              <w:t>Ehitusvigade korduv mittemärkamine (Käsundiandja on juhtinud Käsundisaaja  tähelepanu)</w:t>
            </w:r>
          </w:p>
        </w:tc>
        <w:tc>
          <w:tcPr>
            <w:tcW w:w="3119" w:type="dxa"/>
            <w:tcBorders/>
            <w:shd w:fill="auto" w:val="clear"/>
          </w:tcPr>
          <w:p>
            <w:pPr>
              <w:pStyle w:val="ListParagraph"/>
              <w:suppressAutoHyphens w:val="true"/>
              <w:ind w:left="0" w:hanging="0"/>
              <w:jc w:val="both"/>
              <w:rPr>
                <w:color w:val="000000" w:themeColor="text1"/>
                <w:sz w:val="22"/>
                <w:szCs w:val="22"/>
              </w:rPr>
            </w:pPr>
            <w:r>
              <w:rPr>
                <w:color w:val="000000" w:themeColor="text1"/>
                <w:sz w:val="22"/>
                <w:szCs w:val="22"/>
              </w:rPr>
              <w:t>1 kord</w:t>
            </w:r>
          </w:p>
        </w:tc>
        <w:tc>
          <w:tcPr>
            <w:tcW w:w="1904" w:type="dxa"/>
            <w:tcBorders/>
            <w:shd w:fill="auto" w:val="clear"/>
          </w:tcPr>
          <w:p>
            <w:pPr>
              <w:pStyle w:val="ListParagraph"/>
              <w:suppressAutoHyphens w:val="true"/>
              <w:ind w:left="0" w:hanging="0"/>
              <w:jc w:val="both"/>
              <w:rPr>
                <w:color w:val="000000" w:themeColor="text1"/>
                <w:sz w:val="22"/>
                <w:szCs w:val="22"/>
              </w:rPr>
            </w:pPr>
            <w:r>
              <w:rPr>
                <w:color w:val="000000" w:themeColor="text1"/>
                <w:sz w:val="22"/>
                <w:szCs w:val="22"/>
              </w:rPr>
              <w:t>200€</w:t>
            </w:r>
          </w:p>
        </w:tc>
      </w:tr>
      <w:tr>
        <w:trPr/>
        <w:tc>
          <w:tcPr>
            <w:tcW w:w="3226" w:type="dxa"/>
            <w:tcBorders/>
            <w:shd w:fill="auto" w:val="clear"/>
          </w:tcPr>
          <w:p>
            <w:pPr>
              <w:pStyle w:val="ListParagraph"/>
              <w:suppressAutoHyphens w:val="true"/>
              <w:ind w:left="0" w:hanging="0"/>
              <w:jc w:val="both"/>
              <w:rPr>
                <w:color w:val="000000" w:themeColor="text1"/>
                <w:sz w:val="22"/>
                <w:szCs w:val="22"/>
              </w:rPr>
            </w:pPr>
            <w:r>
              <w:rPr>
                <w:color w:val="000000" w:themeColor="text1"/>
                <w:sz w:val="22"/>
                <w:szCs w:val="22"/>
              </w:rPr>
              <w:t>Teostusjooniste ja täitedokumentatsiooni töövõtjalt nõudmise ja kontrollikohustuse täitmata jätmine</w:t>
            </w:r>
          </w:p>
        </w:tc>
        <w:tc>
          <w:tcPr>
            <w:tcW w:w="3119" w:type="dxa"/>
            <w:tcBorders/>
            <w:shd w:fill="auto" w:val="clear"/>
          </w:tcPr>
          <w:p>
            <w:pPr>
              <w:pStyle w:val="ListParagraph"/>
              <w:suppressAutoHyphens w:val="true"/>
              <w:ind w:left="0" w:hanging="0"/>
              <w:jc w:val="both"/>
              <w:rPr>
                <w:color w:val="000000" w:themeColor="text1"/>
                <w:sz w:val="22"/>
                <w:szCs w:val="22"/>
              </w:rPr>
            </w:pPr>
            <w:r>
              <w:rPr>
                <w:color w:val="000000" w:themeColor="text1"/>
                <w:sz w:val="22"/>
                <w:szCs w:val="22"/>
              </w:rPr>
              <w:t>1 kord</w:t>
            </w:r>
          </w:p>
        </w:tc>
        <w:tc>
          <w:tcPr>
            <w:tcW w:w="1904" w:type="dxa"/>
            <w:tcBorders/>
            <w:shd w:fill="auto" w:val="clear"/>
          </w:tcPr>
          <w:p>
            <w:pPr>
              <w:pStyle w:val="ListParagraph"/>
              <w:suppressAutoHyphens w:val="true"/>
              <w:ind w:left="0" w:hanging="0"/>
              <w:jc w:val="both"/>
              <w:rPr>
                <w:color w:val="000000" w:themeColor="text1"/>
                <w:sz w:val="22"/>
                <w:szCs w:val="22"/>
              </w:rPr>
            </w:pPr>
            <w:r>
              <w:rPr>
                <w:color w:val="000000" w:themeColor="text1"/>
                <w:sz w:val="22"/>
                <w:szCs w:val="22"/>
              </w:rPr>
              <w:t>300€</w:t>
            </w:r>
          </w:p>
        </w:tc>
      </w:tr>
    </w:tbl>
    <w:p>
      <w:pPr>
        <w:pStyle w:val="ListParagraph"/>
        <w:numPr>
          <w:ilvl w:val="1"/>
          <w:numId w:val="1"/>
        </w:numPr>
        <w:ind w:left="993" w:hanging="567"/>
        <w:jc w:val="both"/>
        <w:rPr>
          <w:sz w:val="22"/>
          <w:szCs w:val="22"/>
        </w:rPr>
      </w:pPr>
      <w:r>
        <w:rPr>
          <w:sz w:val="22"/>
          <w:szCs w:val="22"/>
        </w:rPr>
        <w:t xml:space="preserve">Objekti valmimise tähtaja ületamisel Käsundisaaja tegevusest/tegevusetusest tulenevatel asjaoludel on Käsundiandjal õigus Käsundisaajalt lisaks tekitatud kahju hüvitamisele nõuda iga nimetatud tähtaega ületanud kalendripäeva eest leppetrahvi null koma kakskümmend viis protsenti (0,25 %) Lepingusummast. </w:t>
      </w:r>
    </w:p>
    <w:p>
      <w:pPr>
        <w:pStyle w:val="ListParagraph"/>
        <w:numPr>
          <w:ilvl w:val="1"/>
          <w:numId w:val="1"/>
        </w:numPr>
        <w:ind w:left="993" w:hanging="567"/>
        <w:jc w:val="both"/>
        <w:rPr>
          <w:sz w:val="22"/>
          <w:szCs w:val="22"/>
        </w:rPr>
      </w:pPr>
      <w:r>
        <w:rPr>
          <w:sz w:val="22"/>
          <w:szCs w:val="22"/>
        </w:rPr>
        <w:t>Käsundiandjal on õigus leppetrahv kinni pidada Käsundisaajale tasumata arvetest.</w:t>
      </w:r>
    </w:p>
    <w:p>
      <w:pPr>
        <w:pStyle w:val="ListParagraph"/>
        <w:ind w:left="993" w:hanging="0"/>
        <w:jc w:val="both"/>
        <w:rPr>
          <w:sz w:val="22"/>
          <w:szCs w:val="22"/>
        </w:rPr>
      </w:pPr>
      <w:r>
        <w:rPr>
          <w:sz w:val="22"/>
          <w:szCs w:val="22"/>
        </w:rPr>
      </w:r>
    </w:p>
    <w:p>
      <w:pPr>
        <w:pStyle w:val="ListParagraph"/>
        <w:numPr>
          <w:ilvl w:val="0"/>
          <w:numId w:val="1"/>
        </w:numPr>
        <w:tabs>
          <w:tab w:val="left" w:pos="851" w:leader="none"/>
        </w:tabs>
        <w:ind w:left="851" w:hanging="425"/>
        <w:jc w:val="both"/>
        <w:rPr>
          <w:b/>
          <w:b/>
          <w:sz w:val="22"/>
          <w:szCs w:val="22"/>
        </w:rPr>
      </w:pPr>
      <w:r>
        <w:rPr>
          <w:b/>
          <w:sz w:val="22"/>
          <w:szCs w:val="22"/>
        </w:rPr>
        <w:t xml:space="preserve"> </w:t>
      </w:r>
      <w:r>
        <w:rPr>
          <w:b/>
          <w:sz w:val="22"/>
          <w:szCs w:val="22"/>
        </w:rPr>
        <w:t>Autoriõigus</w:t>
      </w:r>
    </w:p>
    <w:p>
      <w:pPr>
        <w:pStyle w:val="ListParagraph"/>
        <w:numPr>
          <w:ilvl w:val="1"/>
          <w:numId w:val="1"/>
        </w:numPr>
        <w:ind w:left="993" w:hanging="567"/>
        <w:jc w:val="both"/>
        <w:rPr>
          <w:sz w:val="22"/>
          <w:szCs w:val="22"/>
        </w:rPr>
      </w:pPr>
      <w:r>
        <w:rPr>
          <w:sz w:val="22"/>
          <w:szCs w:val="22"/>
        </w:rPr>
        <w:t xml:space="preserve">Kõik Käsundisaaja poolt Lepingu täitmise käigus saadud, koostatud või ettevalmistatud dokumendid ja andmed nagu projektdokumentatsioon, kaardid, diagrammid, joonised, tehnilised nõuded, plaanid, statistilised andmed, arvutused, andmebaasid, tarkvara ja abiaruanded või –materjalid jt on Käsundiandja omand. Lepingu lõpetamisel/lõppemisel annab Käsundisaaja kõik sellised dokumendid ja andmed Käsundiandjale üle. </w:t>
      </w:r>
    </w:p>
    <w:p>
      <w:pPr>
        <w:pStyle w:val="ListParagraph"/>
        <w:keepNext w:val="true"/>
        <w:numPr>
          <w:ilvl w:val="1"/>
          <w:numId w:val="1"/>
        </w:numPr>
        <w:spacing w:before="240" w:after="120"/>
        <w:ind w:left="993" w:hanging="567"/>
        <w:contextualSpacing/>
        <w:jc w:val="both"/>
        <w:rPr>
          <w:b/>
          <w:b/>
          <w:sz w:val="22"/>
          <w:szCs w:val="22"/>
        </w:rPr>
      </w:pPr>
      <w:r>
        <w:rPr>
          <w:sz w:val="22"/>
          <w:szCs w:val="22"/>
        </w:rPr>
        <w:t>Käsundisaaja poolt Teenuse osutamise käigus tekkinud autoriõigused lähevad Käsundiandjale üle ilma Poolte täiendava kokkuleppeta nende tekkimist arvates ulatuses, mida võimaldavad kehtivad õigusnormid ning Käsundiandja võib neid õiguseid kasutada, avaldada, loovutada või üle kanda ilma Käsundisaaja nõusolekuta. Käsundisaaja annab Käsundiandjale käesolevaga ainulitsentsi selliste teoste osas isiklike õiguste kasutamiseks käesoleva Lepinguga ettenähtud eesmärgil kogu autoriõiguse kehtivuse tähtajaks. Tasu käesoleva litsentsi eest loetakse makstuks koos Lepinguhinna tasumisega.</w:t>
      </w:r>
    </w:p>
    <w:p>
      <w:pPr>
        <w:pStyle w:val="ListParagraph"/>
        <w:keepNext w:val="true"/>
        <w:spacing w:before="240" w:after="120"/>
        <w:ind w:left="644" w:hanging="0"/>
        <w:contextualSpacing/>
        <w:jc w:val="both"/>
        <w:rPr>
          <w:b/>
          <w:b/>
          <w:sz w:val="22"/>
          <w:szCs w:val="22"/>
        </w:rPr>
      </w:pPr>
      <w:r>
        <w:rPr>
          <w:b/>
          <w:sz w:val="22"/>
          <w:szCs w:val="22"/>
        </w:rPr>
      </w:r>
    </w:p>
    <w:p>
      <w:pPr>
        <w:pStyle w:val="ListParagraph"/>
        <w:keepNext w:val="true"/>
        <w:numPr>
          <w:ilvl w:val="0"/>
          <w:numId w:val="1"/>
        </w:numPr>
        <w:spacing w:before="240" w:after="120"/>
        <w:ind w:left="851" w:hanging="360"/>
        <w:contextualSpacing/>
        <w:jc w:val="both"/>
        <w:rPr>
          <w:b/>
          <w:b/>
          <w:sz w:val="22"/>
          <w:szCs w:val="22"/>
        </w:rPr>
      </w:pPr>
      <w:r>
        <w:rPr>
          <w:b/>
          <w:sz w:val="22"/>
          <w:szCs w:val="22"/>
        </w:rPr>
        <w:t xml:space="preserve"> </w:t>
      </w:r>
      <w:r>
        <w:rPr>
          <w:b/>
          <w:sz w:val="22"/>
          <w:szCs w:val="22"/>
        </w:rPr>
        <w:t>Muud tingimused</w:t>
      </w:r>
    </w:p>
    <w:p>
      <w:pPr>
        <w:pStyle w:val="ListParagraph"/>
        <w:numPr>
          <w:ilvl w:val="1"/>
          <w:numId w:val="1"/>
        </w:numPr>
        <w:ind w:left="993" w:hanging="567"/>
        <w:jc w:val="both"/>
        <w:rPr>
          <w:sz w:val="22"/>
          <w:szCs w:val="22"/>
        </w:rPr>
      </w:pPr>
      <w:r>
        <w:rPr>
          <w:sz w:val="22"/>
          <w:szCs w:val="22"/>
        </w:rPr>
        <w:t>Käsundisaaja kohustub saladuses hoidma ja ilma Käsundiandja eelneva nõusolekuta mitte avaldama mistahes andmeid ja informatsiooni, mis ta on saanud Käsundiandjalt Teenuse osutamise käigus, v.a Käsundisaaja alltöövõtjatele Lepingujärgsete tööde/teenuste täitmiseks vajalike andmete avaldamine.</w:t>
      </w:r>
    </w:p>
    <w:p>
      <w:pPr>
        <w:pStyle w:val="ListParagraph"/>
        <w:numPr>
          <w:ilvl w:val="1"/>
          <w:numId w:val="1"/>
        </w:numPr>
        <w:ind w:left="993" w:hanging="567"/>
        <w:jc w:val="both"/>
        <w:rPr>
          <w:sz w:val="22"/>
          <w:szCs w:val="22"/>
        </w:rPr>
      </w:pPr>
      <w:r>
        <w:rPr>
          <w:sz w:val="22"/>
          <w:szCs w:val="22"/>
        </w:rPr>
        <w:t>Poolel lasuv konfidentsiaalsuskohustus laieneb ka Poole töötajatele, alltöövõtjatele ning lepingupartneritele ning Pool peab tagama konfidentsiaalsuskohustuse järgimise ka nimetatud isikute poolt.</w:t>
      </w:r>
    </w:p>
    <w:p>
      <w:pPr>
        <w:pStyle w:val="Normal"/>
        <w:numPr>
          <w:ilvl w:val="1"/>
          <w:numId w:val="1"/>
        </w:numPr>
        <w:tabs>
          <w:tab w:val="left" w:pos="-1800" w:leader="none"/>
          <w:tab w:val="left" w:pos="0" w:leader="none"/>
          <w:tab w:val="left" w:pos="567" w:leader="none"/>
        </w:tabs>
        <w:ind w:left="993" w:hanging="567"/>
        <w:jc w:val="both"/>
        <w:rPr>
          <w:sz w:val="22"/>
          <w:szCs w:val="22"/>
        </w:rPr>
      </w:pPr>
      <w:r>
        <w:rPr>
          <w:iCs/>
          <w:sz w:val="22"/>
          <w:szCs w:val="22"/>
        </w:rPr>
        <w:t xml:space="preserve">Lepingule </w:t>
      </w:r>
      <w:r>
        <w:rPr>
          <w:sz w:val="22"/>
          <w:szCs w:val="22"/>
        </w:rPr>
        <w:t>kohaldatakse Eesti materiaal- ja protsessiõigust.</w:t>
      </w:r>
    </w:p>
    <w:p>
      <w:pPr>
        <w:pStyle w:val="ListParagraph"/>
        <w:numPr>
          <w:ilvl w:val="1"/>
          <w:numId w:val="1"/>
        </w:numPr>
        <w:ind w:left="993" w:hanging="567"/>
        <w:jc w:val="both"/>
        <w:rPr>
          <w:sz w:val="22"/>
          <w:szCs w:val="22"/>
        </w:rPr>
      </w:pPr>
      <w:r>
        <w:rPr>
          <w:sz w:val="22"/>
          <w:szCs w:val="22"/>
        </w:rPr>
        <w:t>Lahkhelid Käsundiandja ja Käsundisaaja vahel lahendatakse läbirääkimiste teel. Kokkuleppe mittesaavutamisel lahendatakse vaidlused Eesti Vabariigi õigusaktidega ettenähtud korras Tartu Maakohtu Võru kohtumajas. Kui õigusaktides on sätestatud kohustuslik kohtualluvus, mida ei saa poolte kokkuleppega muuta, lahendatakse vaidlused õigusaktidega sätestatud kohtualluvuse kohaselt.</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right="-1" w:hanging="0"/>
        <w:jc w:val="both"/>
        <w:rPr>
          <w:bCs/>
          <w:i/>
          <w:i/>
          <w:sz w:val="22"/>
          <w:szCs w:val="22"/>
        </w:rPr>
      </w:pPr>
      <w:r>
        <w:rPr>
          <w:bCs/>
          <w:i/>
          <w:sz w:val="22"/>
          <w:szCs w:val="22"/>
        </w:rPr>
        <w:t>/allkirjastatud digitaalselt/</w:t>
        <w:tab/>
        <w:tab/>
        <w:tab/>
        <w:tab/>
        <w:t>/allkirjastatud digitaalselt/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right="-1" w:hanging="0"/>
        <w:jc w:val="both"/>
        <w:rPr>
          <w:b/>
          <w:b/>
          <w:bCs/>
          <w:sz w:val="22"/>
          <w:szCs w:val="22"/>
        </w:rPr>
      </w:pPr>
      <w:r>
        <w:rPr>
          <w:b/>
          <w:bCs/>
          <w:sz w:val="22"/>
          <w:szCs w:val="22"/>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right="-1" w:hanging="0"/>
        <w:jc w:val="both"/>
        <w:rPr>
          <w:b/>
          <w:b/>
          <w:bCs/>
          <w:sz w:val="22"/>
          <w:szCs w:val="22"/>
        </w:rPr>
      </w:pPr>
      <w:r>
        <w:rPr>
          <w:b/>
          <w:bCs/>
          <w:sz w:val="22"/>
          <w:szCs w:val="22"/>
        </w:rPr>
      </w:r>
    </w:p>
    <w:p>
      <w:pPr>
        <w:pStyle w:val="Normal"/>
        <w:rPr>
          <w:b/>
          <w:b/>
          <w:bCs/>
          <w:sz w:val="22"/>
          <w:szCs w:val="22"/>
        </w:rPr>
      </w:pPr>
      <w:r>
        <w:rPr>
          <w:b/>
          <w:bCs/>
          <w:sz w:val="22"/>
          <w:szCs w:val="22"/>
        </w:rPr>
        <w:t>Käsundiandja</w:t>
        <w:tab/>
        <w:tab/>
        <w:tab/>
        <w:tab/>
        <w:tab/>
        <w:tab/>
        <w:t>Käsundisaaja</w:t>
      </w:r>
    </w:p>
    <w:p>
      <w:pPr>
        <w:pStyle w:val="Normal"/>
        <w:rPr/>
      </w:pPr>
      <w:r>
        <w:rPr/>
      </w:r>
      <w:r>
        <w:br w:type="page"/>
      </w:r>
    </w:p>
    <w:p>
      <w:pPr>
        <w:pStyle w:val="Normal"/>
        <w:jc w:val="right"/>
        <w:rPr>
          <w:b/>
          <w:b/>
          <w:sz w:val="22"/>
          <w:szCs w:val="22"/>
        </w:rPr>
      </w:pPr>
      <w:r>
        <w:rPr>
          <w:b/>
          <w:sz w:val="22"/>
          <w:szCs w:val="22"/>
        </w:rPr>
        <w:t xml:space="preserve">Garantiikirja vorm </w:t>
      </w:r>
    </w:p>
    <w:p>
      <w:pPr>
        <w:pStyle w:val="Normal"/>
        <w:keepNext w:val="true"/>
        <w:numPr>
          <w:ilvl w:val="0"/>
          <w:numId w:val="0"/>
        </w:numPr>
        <w:tabs>
          <w:tab w:val="left" w:pos="720" w:leader="none"/>
        </w:tabs>
        <w:spacing w:before="240" w:after="60"/>
        <w:ind w:left="360" w:hanging="360"/>
        <w:contextualSpacing/>
        <w:jc w:val="center"/>
        <w:outlineLvl w:val="0"/>
        <w:rPr>
          <w:b/>
          <w:b/>
          <w:bCs/>
          <w:caps/>
          <w:kern w:val="2"/>
          <w:sz w:val="22"/>
          <w:szCs w:val="22"/>
        </w:rPr>
      </w:pPr>
      <w:r>
        <w:rPr>
          <w:b/>
          <w:bCs/>
          <w:caps/>
          <w:kern w:val="2"/>
          <w:sz w:val="22"/>
          <w:szCs w:val="22"/>
        </w:rPr>
      </w:r>
    </w:p>
    <w:p>
      <w:pPr>
        <w:pStyle w:val="Normal"/>
        <w:keepNext w:val="true"/>
        <w:numPr>
          <w:ilvl w:val="0"/>
          <w:numId w:val="0"/>
        </w:numPr>
        <w:tabs>
          <w:tab w:val="left" w:pos="720" w:leader="none"/>
        </w:tabs>
        <w:spacing w:before="240" w:after="60"/>
        <w:ind w:left="360" w:hanging="360"/>
        <w:contextualSpacing/>
        <w:jc w:val="center"/>
        <w:outlineLvl w:val="0"/>
        <w:rPr>
          <w:b/>
          <w:b/>
          <w:bCs/>
          <w:caps/>
          <w:kern w:val="2"/>
          <w:sz w:val="22"/>
          <w:szCs w:val="22"/>
        </w:rPr>
      </w:pPr>
      <w:r>
        <w:rPr>
          <w:b/>
          <w:bCs/>
          <w:caps/>
          <w:kern w:val="2"/>
          <w:sz w:val="22"/>
          <w:szCs w:val="22"/>
        </w:rPr>
        <w:t xml:space="preserve">GARANTIIKIRI nr ____ </w:t>
      </w:r>
    </w:p>
    <w:p>
      <w:pPr>
        <w:pStyle w:val="Normal"/>
        <w:spacing w:before="0" w:after="0"/>
        <w:contextualSpacing/>
        <w:jc w:val="center"/>
        <w:rPr>
          <w:sz w:val="22"/>
          <w:szCs w:val="22"/>
        </w:rPr>
      </w:pPr>
      <w:r>
        <w:rPr>
          <w:sz w:val="22"/>
          <w:szCs w:val="22"/>
        </w:rPr>
      </w:r>
    </w:p>
    <w:p>
      <w:pPr>
        <w:pStyle w:val="Pealkiri2"/>
        <w:spacing w:before="0" w:after="0"/>
        <w:ind w:left="576" w:hanging="576"/>
        <w:contextualSpacing/>
        <w:rPr>
          <w:rFonts w:ascii="Times New Roman" w:hAnsi="Times New Roman" w:cs="Times New Roman"/>
          <w:color w:val="auto"/>
          <w:sz w:val="22"/>
          <w:szCs w:val="22"/>
        </w:rPr>
      </w:pPr>
      <w:r>
        <w:rPr>
          <w:rFonts w:cs="Times New Roman" w:ascii="Times New Roman" w:hAnsi="Times New Roman"/>
          <w:color w:val="auto"/>
          <w:sz w:val="22"/>
          <w:szCs w:val="22"/>
        </w:rPr>
        <w:t xml:space="preserve">Garant: </w:t>
        <w:tab/>
        <w:tab/>
        <w:t xml:space="preserve">___________________ </w:t>
      </w:r>
      <w:r>
        <w:rPr>
          <w:rFonts w:cs="Times New Roman" w:ascii="Times New Roman" w:hAnsi="Times New Roman"/>
          <w:b w:val="false"/>
          <w:color w:val="auto"/>
          <w:sz w:val="22"/>
          <w:szCs w:val="22"/>
        </w:rPr>
        <w:t>(registrikood _____________)</w:t>
      </w:r>
    </w:p>
    <w:p>
      <w:pPr>
        <w:pStyle w:val="Pealkiri3"/>
        <w:spacing w:before="0" w:after="0"/>
        <w:contextualSpacing/>
        <w:rPr>
          <w:rFonts w:ascii="Times New Roman" w:hAnsi="Times New Roman" w:cs="Times New Roman"/>
          <w:color w:val="auto"/>
          <w:sz w:val="22"/>
          <w:szCs w:val="22"/>
        </w:rPr>
      </w:pPr>
      <w:r>
        <w:rPr>
          <w:rFonts w:cs="Times New Roman" w:ascii="Times New Roman" w:hAnsi="Times New Roman"/>
          <w:color w:val="auto"/>
          <w:sz w:val="22"/>
          <w:szCs w:val="22"/>
        </w:rPr>
        <w:t>Asukoht:</w:t>
        <w:tab/>
        <w:tab/>
        <w:t>___________________</w:t>
      </w:r>
    </w:p>
    <w:p>
      <w:pPr>
        <w:pStyle w:val="Normal"/>
        <w:spacing w:before="0" w:after="0"/>
        <w:contextualSpacing/>
        <w:jc w:val="both"/>
        <w:rPr>
          <w:sz w:val="22"/>
          <w:szCs w:val="22"/>
        </w:rPr>
      </w:pPr>
      <w:r>
        <w:rPr>
          <w:sz w:val="22"/>
          <w:szCs w:val="22"/>
        </w:rPr>
        <w:t>Volitatud esindaja:</w:t>
        <w:tab/>
        <w:t>___________________</w:t>
      </w:r>
    </w:p>
    <w:p>
      <w:pPr>
        <w:pStyle w:val="Pealkiri2"/>
        <w:spacing w:before="120" w:after="0"/>
        <w:ind w:left="576" w:hanging="576"/>
        <w:contextualSpacing/>
        <w:rPr>
          <w:rFonts w:ascii="Times New Roman" w:hAnsi="Times New Roman" w:cs="Times New Roman"/>
          <w:color w:val="auto"/>
          <w:sz w:val="22"/>
          <w:szCs w:val="22"/>
        </w:rPr>
      </w:pPr>
      <w:r>
        <w:rPr>
          <w:rFonts w:cs="Times New Roman" w:ascii="Times New Roman" w:hAnsi="Times New Roman"/>
          <w:color w:val="auto"/>
          <w:sz w:val="22"/>
          <w:szCs w:val="22"/>
        </w:rPr>
        <w:t>Garantii saaja:</w:t>
        <w:tab/>
        <w:tab/>
        <w:t>____________</w:t>
      </w:r>
      <w:r>
        <w:rPr>
          <w:rFonts w:cs="Times New Roman" w:ascii="Times New Roman" w:hAnsi="Times New Roman"/>
          <w:b w:val="false"/>
          <w:color w:val="auto"/>
          <w:sz w:val="22"/>
          <w:szCs w:val="22"/>
        </w:rPr>
        <w:t>hankija__________, registrikood ___________</w:t>
      </w:r>
    </w:p>
    <w:p>
      <w:pPr>
        <w:pStyle w:val="Pealkiri2"/>
        <w:spacing w:before="0" w:after="0"/>
        <w:ind w:left="576" w:hanging="576"/>
        <w:contextualSpacing/>
        <w:rPr>
          <w:rFonts w:ascii="Times New Roman" w:hAnsi="Times New Roman" w:cs="Times New Roman"/>
          <w:bCs w:val="false"/>
          <w:color w:val="auto"/>
          <w:sz w:val="22"/>
          <w:szCs w:val="22"/>
        </w:rPr>
      </w:pPr>
      <w:r>
        <w:rPr>
          <w:rFonts w:cs="Times New Roman" w:ascii="Times New Roman" w:hAnsi="Times New Roman"/>
          <w:color w:val="auto"/>
          <w:sz w:val="22"/>
          <w:szCs w:val="22"/>
        </w:rPr>
        <w:t>Asukoht:</w:t>
        <w:tab/>
        <w:tab/>
        <w:t>_____________________________________</w:t>
      </w:r>
    </w:p>
    <w:p>
      <w:pPr>
        <w:pStyle w:val="Normal"/>
        <w:spacing w:before="0" w:after="0"/>
        <w:contextualSpacing/>
        <w:rPr>
          <w:sz w:val="22"/>
          <w:szCs w:val="22"/>
        </w:rPr>
      </w:pPr>
      <w:r>
        <w:rPr>
          <w:sz w:val="22"/>
          <w:szCs w:val="22"/>
        </w:rPr>
      </w:r>
    </w:p>
    <w:p>
      <w:pPr>
        <w:pStyle w:val="Pealkiri2"/>
        <w:spacing w:before="0" w:after="0"/>
        <w:ind w:left="576" w:hanging="576"/>
        <w:contextualSpacing/>
        <w:rPr>
          <w:rFonts w:ascii="Times New Roman" w:hAnsi="Times New Roman" w:cs="Times New Roman"/>
          <w:color w:val="auto"/>
          <w:sz w:val="22"/>
          <w:szCs w:val="22"/>
        </w:rPr>
      </w:pPr>
      <w:r>
        <w:rPr>
          <w:rFonts w:cs="Times New Roman" w:ascii="Times New Roman" w:hAnsi="Times New Roman"/>
          <w:color w:val="auto"/>
          <w:sz w:val="22"/>
          <w:szCs w:val="22"/>
        </w:rPr>
        <w:t>Garantii tellija:</w:t>
        <w:tab/>
        <w:t xml:space="preserve">___________________ </w:t>
      </w:r>
      <w:r>
        <w:rPr>
          <w:rFonts w:cs="Times New Roman" w:ascii="Times New Roman" w:hAnsi="Times New Roman"/>
          <w:b w:val="false"/>
          <w:color w:val="auto"/>
          <w:sz w:val="22"/>
          <w:szCs w:val="22"/>
        </w:rPr>
        <w:t>(registrikood _____________)</w:t>
      </w:r>
    </w:p>
    <w:p>
      <w:pPr>
        <w:pStyle w:val="Normal"/>
        <w:spacing w:before="0" w:after="0"/>
        <w:contextualSpacing/>
        <w:jc w:val="both"/>
        <w:rPr>
          <w:sz w:val="22"/>
          <w:szCs w:val="22"/>
        </w:rPr>
      </w:pPr>
      <w:r>
        <w:rPr>
          <w:sz w:val="22"/>
          <w:szCs w:val="22"/>
        </w:rPr>
        <w:t>Asukoht:</w:t>
        <w:tab/>
        <w:tab/>
        <w:t>___________________</w:t>
      </w:r>
    </w:p>
    <w:p>
      <w:pPr>
        <w:pStyle w:val="Normal"/>
        <w:spacing w:before="0" w:after="0"/>
        <w:contextualSpacing/>
        <w:jc w:val="both"/>
        <w:rPr>
          <w:sz w:val="22"/>
          <w:szCs w:val="22"/>
        </w:rPr>
      </w:pPr>
      <w:r>
        <w:rPr>
          <w:sz w:val="22"/>
          <w:szCs w:val="22"/>
        </w:rPr>
        <w:t>Volitatud esindaja:</w:t>
        <w:tab/>
        <w:t>___________________</w:t>
      </w:r>
    </w:p>
    <w:p>
      <w:pPr>
        <w:pStyle w:val="Normal"/>
        <w:spacing w:before="0" w:after="0"/>
        <w:contextualSpacing/>
        <w:jc w:val="both"/>
        <w:rPr>
          <w:sz w:val="22"/>
          <w:szCs w:val="22"/>
        </w:rPr>
      </w:pPr>
      <w:r>
        <w:rPr>
          <w:sz w:val="22"/>
          <w:szCs w:val="22"/>
        </w:rPr>
      </w:r>
    </w:p>
    <w:p>
      <w:pPr>
        <w:pStyle w:val="ListParagraph"/>
        <w:numPr>
          <w:ilvl w:val="0"/>
          <w:numId w:val="5"/>
        </w:numPr>
        <w:jc w:val="both"/>
        <w:rPr>
          <w:sz w:val="22"/>
          <w:szCs w:val="22"/>
        </w:rPr>
      </w:pPr>
      <w:r>
        <w:rPr>
          <w:sz w:val="22"/>
          <w:szCs w:val="22"/>
        </w:rPr>
        <w:t xml:space="preserve">Garant on teadlik, et Garantii tellija ja temaga ühispakkumuses osalevad isikud </w:t>
      </w:r>
      <w:r>
        <w:rPr>
          <w:i/>
          <w:sz w:val="22"/>
          <w:szCs w:val="22"/>
        </w:rPr>
        <w:t>nimetus</w:t>
      </w:r>
      <w:r>
        <w:rPr>
          <w:sz w:val="22"/>
          <w:szCs w:val="22"/>
        </w:rPr>
        <w:t xml:space="preserve"> ja </w:t>
      </w:r>
      <w:r>
        <w:rPr>
          <w:i/>
          <w:sz w:val="22"/>
          <w:szCs w:val="22"/>
        </w:rPr>
        <w:t>nimetus</w:t>
      </w:r>
      <w:r>
        <w:rPr>
          <w:sz w:val="22"/>
          <w:szCs w:val="22"/>
        </w:rPr>
        <w:t xml:space="preserve"> on sõlminud Garantii saajaga </w:t>
      </w:r>
      <w:r>
        <w:rPr>
          <w:i/>
          <w:sz w:val="22"/>
          <w:szCs w:val="22"/>
        </w:rPr>
        <w:t>kuupäev</w:t>
      </w:r>
      <w:r>
        <w:rPr>
          <w:sz w:val="22"/>
          <w:szCs w:val="22"/>
        </w:rPr>
        <w:t xml:space="preserve"> lepingu nr </w:t>
      </w:r>
      <w:r>
        <w:rPr>
          <w:i/>
          <w:sz w:val="22"/>
          <w:szCs w:val="22"/>
        </w:rPr>
        <w:t>number</w:t>
      </w:r>
      <w:r>
        <w:rPr>
          <w:sz w:val="22"/>
          <w:szCs w:val="22"/>
        </w:rPr>
        <w:t xml:space="preserve"> (edaspidi </w:t>
      </w:r>
      <w:r>
        <w:rPr>
          <w:b/>
          <w:sz w:val="22"/>
          <w:szCs w:val="22"/>
        </w:rPr>
        <w:t>Leping</w:t>
      </w:r>
      <w:r>
        <w:rPr>
          <w:sz w:val="22"/>
          <w:szCs w:val="22"/>
        </w:rPr>
        <w:t xml:space="preserve">) Antsla esmatasandi tervisekeskuse ehitustööde </w:t>
      </w:r>
      <w:bookmarkStart w:id="6" w:name="_GoBack"/>
      <w:bookmarkEnd w:id="6"/>
      <w:r>
        <w:rPr>
          <w:sz w:val="22"/>
          <w:szCs w:val="22"/>
        </w:rPr>
        <w:t xml:space="preserve">omanikujärelevalve teenus teostamiseks ning Lepingu kohaselt on Garantii tellija kohustatud esitama Garantii saajale garantii, tagamaks rahalise hüvitise maksmise juhul, kui Garantii tellija rikub Lepingust tulenevaid ehitustööde garantiiaegseid kohustusi. </w:t>
      </w:r>
    </w:p>
    <w:p>
      <w:pPr>
        <w:pStyle w:val="Normal"/>
        <w:numPr>
          <w:ilvl w:val="0"/>
          <w:numId w:val="5"/>
        </w:numPr>
        <w:spacing w:before="0" w:after="0"/>
        <w:contextualSpacing/>
        <w:jc w:val="both"/>
        <w:rPr>
          <w:sz w:val="22"/>
          <w:szCs w:val="22"/>
        </w:rPr>
      </w:pPr>
      <w:r>
        <w:rPr>
          <w:sz w:val="22"/>
          <w:szCs w:val="22"/>
        </w:rPr>
        <w:t xml:space="preserve">Garant garanteerib Garantii saajale Garantii saaja esimesel nõudmisel garantiikirja punktis 1 nimetatud Lepingukokkuleppe järgsete ehitustööde garantiiaegsete kohustuste täitmise tagamiseks kuni </w:t>
      </w:r>
      <w:r>
        <w:rPr>
          <w:b/>
          <w:i/>
          <w:sz w:val="22"/>
          <w:szCs w:val="22"/>
        </w:rPr>
        <w:t>summa numbritega</w:t>
      </w:r>
      <w:r>
        <w:rPr>
          <w:b/>
          <w:sz w:val="22"/>
          <w:szCs w:val="22"/>
        </w:rPr>
        <w:t xml:space="preserve"> (</w:t>
      </w:r>
      <w:r>
        <w:rPr>
          <w:b/>
          <w:i/>
          <w:sz w:val="22"/>
          <w:szCs w:val="22"/>
        </w:rPr>
        <w:t>summa sõnadega</w:t>
      </w:r>
      <w:r>
        <w:rPr>
          <w:b/>
          <w:sz w:val="22"/>
          <w:szCs w:val="22"/>
        </w:rPr>
        <w:t>) euro</w:t>
      </w:r>
      <w:r>
        <w:rPr>
          <w:sz w:val="22"/>
          <w:szCs w:val="22"/>
        </w:rPr>
        <w:t xml:space="preserve"> suuruse summa (edaspidi: </w:t>
      </w:r>
      <w:r>
        <w:rPr>
          <w:b/>
          <w:sz w:val="22"/>
          <w:szCs w:val="22"/>
        </w:rPr>
        <w:t>Garantiisumma</w:t>
      </w:r>
      <w:r>
        <w:rPr>
          <w:sz w:val="22"/>
          <w:szCs w:val="22"/>
        </w:rPr>
        <w:t>) tasumise garantiikirjas toodud tingimustel.</w:t>
      </w:r>
    </w:p>
    <w:p>
      <w:pPr>
        <w:pStyle w:val="Normal"/>
        <w:numPr>
          <w:ilvl w:val="0"/>
          <w:numId w:val="5"/>
        </w:numPr>
        <w:spacing w:before="0" w:after="0"/>
        <w:contextualSpacing/>
        <w:jc w:val="both"/>
        <w:rPr>
          <w:sz w:val="22"/>
          <w:szCs w:val="22"/>
        </w:rPr>
      </w:pPr>
      <w:r>
        <w:rPr>
          <w:sz w:val="22"/>
          <w:szCs w:val="22"/>
        </w:rPr>
        <w:t>Garantiikirja alusel väljamakse saamiseks peab Garantii saaja esitama Garandile kirjaliku või digiallkirjastatud nõude, milles on toodud taotletava väljamakse summa, Garantii saaja kinnitus Garantii tellija Lepingust tuleneva kohustuse rikkumise kohta ning rikutud kohustuse kirjeldus.</w:t>
      </w:r>
    </w:p>
    <w:p>
      <w:pPr>
        <w:pStyle w:val="Normal"/>
        <w:numPr>
          <w:ilvl w:val="0"/>
          <w:numId w:val="5"/>
        </w:numPr>
        <w:spacing w:before="0" w:after="0"/>
        <w:contextualSpacing/>
        <w:jc w:val="both"/>
        <w:rPr>
          <w:sz w:val="22"/>
          <w:szCs w:val="22"/>
        </w:rPr>
      </w:pPr>
      <w:r>
        <w:rPr>
          <w:sz w:val="22"/>
          <w:szCs w:val="22"/>
        </w:rPr>
        <w:t>Garant kannab garantiikirja alusel tasumisele kuuluvad summad Garantii saaja nõudes näidatud arveldusarvele 30 kalendripäeva jooksul Garantii saajalt punktis 3 toodud nõude saamisest. Nõue loetakse Garandi poolt kättesaaduks, kui see on Garandi esindajale üle antud allkirja vastu või saadetud digiallkirjastatult Garandi e-posti aadressil.</w:t>
      </w:r>
    </w:p>
    <w:p>
      <w:pPr>
        <w:pStyle w:val="Normal"/>
        <w:numPr>
          <w:ilvl w:val="0"/>
          <w:numId w:val="5"/>
        </w:numPr>
        <w:spacing w:before="0" w:after="0"/>
        <w:contextualSpacing/>
        <w:jc w:val="both"/>
        <w:rPr>
          <w:sz w:val="22"/>
          <w:szCs w:val="22"/>
        </w:rPr>
      </w:pPr>
      <w:r>
        <w:rPr>
          <w:sz w:val="22"/>
          <w:szCs w:val="22"/>
        </w:rPr>
        <w:t xml:space="preserve">Garantiikiri jõustub Garandi poolt sellele allakirjutamise hetkest ja kehtib kuni </w:t>
      </w:r>
      <w:r>
        <w:rPr>
          <w:b/>
          <w:i/>
          <w:sz w:val="22"/>
          <w:szCs w:val="22"/>
        </w:rPr>
        <w:t>kuupäev</w:t>
      </w:r>
      <w:r>
        <w:rPr>
          <w:b/>
          <w:sz w:val="22"/>
          <w:szCs w:val="22"/>
        </w:rPr>
        <w:t>,</w:t>
      </w:r>
      <w:r>
        <w:rPr>
          <w:sz w:val="22"/>
          <w:szCs w:val="22"/>
        </w:rPr>
        <w:t xml:space="preserve"> hiljemalt millisel kuupäeval saab Garantii saaja Garandile nõude esitada. </w:t>
      </w:r>
    </w:p>
    <w:p>
      <w:pPr>
        <w:pStyle w:val="Normal"/>
        <w:numPr>
          <w:ilvl w:val="0"/>
          <w:numId w:val="5"/>
        </w:numPr>
        <w:spacing w:before="0" w:after="0"/>
        <w:contextualSpacing/>
        <w:jc w:val="both"/>
        <w:rPr>
          <w:sz w:val="22"/>
          <w:szCs w:val="22"/>
        </w:rPr>
      </w:pPr>
      <w:r>
        <w:rPr>
          <w:sz w:val="22"/>
          <w:szCs w:val="22"/>
        </w:rPr>
        <w:t>Garandi garantiikirjast tulenev kohustus lõpeb enne punktis 5 nimetatud tähtaega, kui:</w:t>
      </w:r>
    </w:p>
    <w:p>
      <w:pPr>
        <w:pStyle w:val="ListParagraph"/>
        <w:numPr>
          <w:ilvl w:val="1"/>
          <w:numId w:val="6"/>
        </w:numPr>
        <w:jc w:val="both"/>
        <w:rPr>
          <w:sz w:val="22"/>
          <w:szCs w:val="22"/>
        </w:rPr>
      </w:pPr>
      <w:r>
        <w:rPr>
          <w:sz w:val="22"/>
          <w:szCs w:val="22"/>
        </w:rPr>
        <w:t xml:space="preserve"> </w:t>
      </w:r>
      <w:r>
        <w:rPr>
          <w:sz w:val="22"/>
          <w:szCs w:val="22"/>
        </w:rPr>
        <w:t>Garant maksab Garantii saajale Garantiisumma</w:t>
      </w:r>
    </w:p>
    <w:p>
      <w:pPr>
        <w:pStyle w:val="ListParagraph"/>
        <w:numPr>
          <w:ilvl w:val="1"/>
          <w:numId w:val="6"/>
        </w:numPr>
        <w:tabs>
          <w:tab w:val="left" w:pos="1134" w:leader="none"/>
        </w:tabs>
        <w:ind w:left="709" w:hanging="0"/>
        <w:jc w:val="both"/>
        <w:rPr>
          <w:sz w:val="22"/>
          <w:szCs w:val="22"/>
        </w:rPr>
      </w:pPr>
      <w:r>
        <w:rPr>
          <w:sz w:val="22"/>
          <w:szCs w:val="22"/>
        </w:rPr>
        <w:t>Garantii saaja loobub garantiikirjast tulenevatest õigustest, teatades sellest kirjalikult või digiallkirjastatult või tagastades garantiikirja Garandile.</w:t>
      </w:r>
    </w:p>
    <w:p>
      <w:pPr>
        <w:pStyle w:val="ListParagraph"/>
        <w:numPr>
          <w:ilvl w:val="0"/>
          <w:numId w:val="6"/>
        </w:numPr>
        <w:ind w:left="709" w:hanging="360"/>
        <w:jc w:val="both"/>
        <w:rPr>
          <w:sz w:val="22"/>
          <w:szCs w:val="22"/>
        </w:rPr>
      </w:pPr>
      <w:r>
        <w:rPr>
          <w:sz w:val="22"/>
          <w:szCs w:val="22"/>
        </w:rPr>
        <w:t>Kui Garant teeb garantiikirja alusel osalise väljamakse, siis väheneb Garantiisumma Garandi poolt väljamakstud summa võrra automaatselt.</w:t>
      </w:r>
    </w:p>
    <w:p>
      <w:pPr>
        <w:pStyle w:val="ListParagraph"/>
        <w:numPr>
          <w:ilvl w:val="0"/>
          <w:numId w:val="6"/>
        </w:numPr>
        <w:ind w:left="709" w:hanging="360"/>
        <w:jc w:val="both"/>
        <w:rPr>
          <w:sz w:val="22"/>
          <w:szCs w:val="22"/>
        </w:rPr>
      </w:pPr>
      <w:r>
        <w:rPr>
          <w:sz w:val="22"/>
          <w:szCs w:val="22"/>
        </w:rPr>
        <w:t>Garantii saaja garantiikirjast tulenevad õigused ei ole loovutatavad ilma Garandi nõusolekuta.</w:t>
      </w:r>
    </w:p>
    <w:p>
      <w:pPr>
        <w:pStyle w:val="Normal"/>
        <w:numPr>
          <w:ilvl w:val="0"/>
          <w:numId w:val="6"/>
        </w:numPr>
        <w:spacing w:before="0" w:after="0"/>
        <w:ind w:left="709" w:hanging="360"/>
        <w:contextualSpacing/>
        <w:jc w:val="both"/>
        <w:rPr>
          <w:sz w:val="22"/>
          <w:szCs w:val="22"/>
        </w:rPr>
      </w:pPr>
      <w:r>
        <w:rPr>
          <w:sz w:val="22"/>
          <w:szCs w:val="22"/>
        </w:rPr>
        <w:t xml:space="preserve">Garantiikirjale kohaldatakse Eesti Vabariigi õigusnorme. Garantiikirjas tulenevad vaidlused, mida ei ole võimalik lahendada läbirääkimiste teel, lahendatakse Tartu Maakohtu Võru kohtumajas. </w:t>
      </w:r>
    </w:p>
    <w:p>
      <w:pPr>
        <w:pStyle w:val="Normal"/>
        <w:spacing w:before="0" w:after="0"/>
        <w:contextualSpacing/>
        <w:jc w:val="both"/>
        <w:rPr>
          <w:sz w:val="22"/>
          <w:szCs w:val="22"/>
        </w:rPr>
      </w:pPr>
      <w:r>
        <w:rPr>
          <w:sz w:val="22"/>
          <w:szCs w:val="22"/>
        </w:rPr>
      </w:r>
    </w:p>
    <w:p>
      <w:pPr>
        <w:pStyle w:val="Normal"/>
        <w:spacing w:before="0" w:after="0"/>
        <w:contextualSpacing/>
        <w:jc w:val="both"/>
        <w:rPr>
          <w:sz w:val="22"/>
          <w:szCs w:val="22"/>
        </w:rPr>
      </w:pPr>
      <w:r>
        <w:rPr>
          <w:sz w:val="22"/>
          <w:szCs w:val="22"/>
          <w:lang w:val="fi-FI"/>
        </w:rPr>
        <w:t>Garantiikiri on allkirjastatud digitaalselt</w:t>
      </w:r>
    </w:p>
    <w:p>
      <w:pPr>
        <w:pStyle w:val="Normal"/>
        <w:rPr>
          <w:b/>
          <w:b/>
          <w:bCs/>
          <w:sz w:val="22"/>
          <w:szCs w:val="22"/>
        </w:rPr>
      </w:pPr>
      <w:r>
        <w:rPr>
          <w:b/>
          <w:bCs/>
          <w:sz w:val="22"/>
          <w:szCs w:val="22"/>
        </w:rPr>
      </w:r>
    </w:p>
    <w:p>
      <w:pPr>
        <w:pStyle w:val="Normal"/>
        <w:rPr/>
      </w:pPr>
      <w:r>
        <w:rPr/>
      </w:r>
    </w:p>
    <w:sectPr>
      <w:footerReference w:type="default" r:id="rId2"/>
      <w:type w:val="nextPage"/>
      <w:pgSz w:w="12240" w:h="15840"/>
      <w:pgMar w:left="1701" w:right="851" w:header="0" w:top="851" w:footer="567"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Cambria">
    <w:charset w:val="ba"/>
    <w:family w:val="roman"/>
    <w:pitch w:val="variable"/>
  </w:font>
  <w:font w:name="Liberation Sans">
    <w:altName w:val="Arial"/>
    <w:charset w:val="ba"/>
    <w:family w:val="roman"/>
    <w:pitch w:val="variable"/>
  </w:font>
  <w:font w:name="Tahoma">
    <w:charset w:val="ba"/>
    <w:family w:val="roman"/>
    <w:pitch w:val="variable"/>
  </w:font>
  <w:font w:name="Calibri">
    <w:charset w:val="ba"/>
    <w:family w:val="roman"/>
    <w:pitch w:val="variable"/>
  </w:font>
  <w:font w:name="Verdana">
    <w:charset w:val="ba"/>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Jalus"/>
      <w:ind w:right="360" w:hanging="0"/>
      <w:rPr/>
    </w:pPr>
    <w:r>
      <w:rPr/>
      <mc:AlternateContent>
        <mc:Choice Requires="wps">
          <w:drawing>
            <wp:anchor behindDoc="1" distT="0" distB="0" distL="0" distR="0" simplePos="0" locked="0" layoutInCell="1" allowOverlap="1" relativeHeight="12">
              <wp:simplePos x="0" y="0"/>
              <wp:positionH relativeFrom="margin">
                <wp:align>right</wp:align>
              </wp:positionH>
              <wp:positionV relativeFrom="paragraph">
                <wp:posOffset>635</wp:posOffset>
              </wp:positionV>
              <wp:extent cx="15240" cy="174625"/>
              <wp:effectExtent l="0" t="0" r="0" b="0"/>
              <wp:wrapSquare wrapText="largest"/>
              <wp:docPr id="1" name="Paneel1"/>
              <a:graphic xmlns:a="http://schemas.openxmlformats.org/drawingml/2006/main">
                <a:graphicData uri="http://schemas.microsoft.com/office/word/2010/wordprocessingShape">
                  <wps:wsp>
                    <wps:cNvSpPr/>
                    <wps:spPr>
                      <a:xfrm>
                        <a:off x="0" y="0"/>
                        <a:ext cx="14760" cy="173880"/>
                      </a:xfrm>
                      <a:prstGeom prst="rect">
                        <a:avLst/>
                      </a:prstGeom>
                      <a:noFill/>
                      <a:ln>
                        <a:noFill/>
                      </a:ln>
                    </wps:spPr>
                    <wps:style>
                      <a:lnRef idx="0"/>
                      <a:fillRef idx="0"/>
                      <a:effectRef idx="0"/>
                      <a:fontRef idx="minor"/>
                    </wps:style>
                    <wps:txbx>
                      <w:txbxContent>
                        <w:p>
                          <w:pPr>
                            <w:pStyle w:val="Jalus"/>
                            <w:rPr>
                              <w:color w:val="auto"/>
                            </w:rPr>
                          </w:pPr>
                          <w:r>
                            <w:rPr>
                              <w:color w:val="auto"/>
                            </w:rPr>
                          </w:r>
                        </w:p>
                      </w:txbxContent>
                    </wps:txbx>
                    <wps:bodyPr lIns="0" rIns="0" tIns="0" bIns="0">
                      <a:spAutoFit/>
                    </wps:bodyPr>
                  </wps:wsp>
                </a:graphicData>
              </a:graphic>
            </wp:anchor>
          </w:drawing>
        </mc:Choice>
        <mc:Fallback>
          <w:pict>
            <v:rect id="shape_0" ID="Paneel1" fillcolor="white" stroked="f" style="position:absolute;margin-left:483.2pt;margin-top:0.05pt;width:1.1pt;height:13.65pt;mso-position-horizontal:right;mso-position-horizontal-relative:margin">
              <w10:wrap type="none"/>
              <v:fill o:detectmouseclick="t" type="solid" color2="black" opacity="0"/>
              <v:stroke color="#3465a4" joinstyle="round" endcap="flat"/>
              <v:textbox>
                <w:txbxContent>
                  <w:p>
                    <w:pPr>
                      <w:pStyle w:val="Jalus"/>
                      <w:rPr>
                        <w:color w:val="auto"/>
                      </w:rPr>
                    </w:pPr>
                    <w:r>
                      <w:rPr>
                        <w:color w:val="auto"/>
                      </w:rPr>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1.%2."/>
      <w:lvlJc w:val="left"/>
      <w:pPr>
        <w:ind w:left="720" w:hanging="360"/>
      </w:pPr>
      <w:rPr>
        <w:sz w:val="22"/>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lvl w:ilvl="0">
      <w:start w:val="1"/>
      <w:numFmt w:val="bullet"/>
      <w:lvlText w:val=""/>
      <w:lvlJc w:val="left"/>
      <w:pPr>
        <w:ind w:left="360" w:hanging="360"/>
      </w:pPr>
      <w:rPr>
        <w:rFonts w:ascii="Symbol" w:hAnsi="Symbol" w:cs="Symbol" w:hint="default"/>
        <w:sz w:val="22"/>
        <w:b/>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2"/>
      <w:numFmt w:val="decimal"/>
      <w:lvlText w:val="%1."/>
      <w:lvlJc w:val="left"/>
      <w:pPr>
        <w:ind w:left="645" w:hanging="645"/>
      </w:pPr>
    </w:lvl>
    <w:lvl w:ilvl="1">
      <w:start w:val="9"/>
      <w:numFmt w:val="decimal"/>
      <w:lvlText w:val="%1.%2."/>
      <w:lvlJc w:val="left"/>
      <w:pPr>
        <w:ind w:left="825" w:hanging="645"/>
      </w:pPr>
      <w:rPr>
        <w:sz w:val="22"/>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lvl w:ilvl="0">
      <w:start w:val="1"/>
      <w:numFmt w:val="decimal"/>
      <w:lvlText w:val="%1."/>
      <w:lvlJc w:val="left"/>
      <w:pPr>
        <w:ind w:left="1429" w:hanging="360"/>
      </w:pPr>
    </w:lvl>
    <w:lvl w:ilvl="1">
      <w:start w:val="1"/>
      <w:numFmt w:val="decimal"/>
      <w:lvlText w:val="%1.%2."/>
      <w:lvlJc w:val="left"/>
      <w:pPr>
        <w:ind w:left="1513" w:hanging="444"/>
      </w:pPr>
    </w:lvl>
    <w:lvl w:ilvl="2">
      <w:start w:val="1"/>
      <w:numFmt w:val="decimal"/>
      <w:lvlText w:val="%1.%2.%3."/>
      <w:lvlJc w:val="left"/>
      <w:pPr>
        <w:ind w:left="1789" w:hanging="720"/>
      </w:pPr>
    </w:lvl>
    <w:lvl w:ilvl="3">
      <w:start w:val="1"/>
      <w:numFmt w:val="decimal"/>
      <w:lvlText w:val="%1.%2.%3.%4."/>
      <w:lvlJc w:val="left"/>
      <w:pPr>
        <w:ind w:left="1789" w:hanging="720"/>
      </w:pPr>
    </w:lvl>
    <w:lvl w:ilvl="4">
      <w:start w:val="1"/>
      <w:numFmt w:val="decimal"/>
      <w:lvlText w:val="%1.%2.%3.%4.%5."/>
      <w:lvlJc w:val="left"/>
      <w:pPr>
        <w:ind w:left="2149" w:hanging="1080"/>
      </w:pPr>
    </w:lvl>
    <w:lvl w:ilvl="5">
      <w:start w:val="1"/>
      <w:numFmt w:val="decimal"/>
      <w:lvlText w:val="%1.%2.%3.%4.%5.%6."/>
      <w:lvlJc w:val="left"/>
      <w:pPr>
        <w:ind w:left="2149" w:hanging="1080"/>
      </w:pPr>
    </w:lvl>
    <w:lvl w:ilvl="6">
      <w:start w:val="1"/>
      <w:numFmt w:val="decimal"/>
      <w:lvlText w:val="%1.%2.%3.%4.%5.%6.%7."/>
      <w:lvlJc w:val="left"/>
      <w:pPr>
        <w:ind w:left="2509" w:hanging="1440"/>
      </w:pPr>
    </w:lvl>
    <w:lvl w:ilvl="7">
      <w:start w:val="1"/>
      <w:numFmt w:val="decimal"/>
      <w:lvlText w:val="%1.%2.%3.%4.%5.%6.%7.%8."/>
      <w:lvlJc w:val="left"/>
      <w:pPr>
        <w:ind w:left="2509" w:hanging="1440"/>
      </w:pPr>
    </w:lvl>
    <w:lvl w:ilvl="8">
      <w:start w:val="1"/>
      <w:numFmt w:val="decimal"/>
      <w:lvlText w:val="%1.%2.%3.%4.%5.%6.%7.%8.%9."/>
      <w:lvlJc w:val="left"/>
      <w:pPr>
        <w:ind w:left="2869" w:hanging="180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3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readOnly" w:cryptProviderType="rsaAES" w:cryptAlgorithmClass="hash" w:cryptAlgorithmType="typeAny" w:cryptAlgorithmSid="" w:cryptSpinCount="0" w:hash="" w:sal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t-EE" w:eastAsia="et-EE"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uiPriority="9" w:semiHidden="1" w:unhideWhenUsed="1" w:qFormat="1"/>
    <w:lsdException w:name="heading 3" w:uiPriority="9"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4535b"/>
    <w:pPr>
      <w:widowControl/>
      <w:bidi w:val="0"/>
      <w:jc w:val="left"/>
    </w:pPr>
    <w:rPr>
      <w:rFonts w:ascii="Times New Roman" w:hAnsi="Times New Roman" w:eastAsia="Times New Roman" w:cs="Times New Roman"/>
      <w:color w:val="auto"/>
      <w:kern w:val="0"/>
      <w:sz w:val="24"/>
      <w:szCs w:val="24"/>
      <w:lang w:val="et-EE" w:eastAsia="en-US" w:bidi="ar-SA"/>
    </w:rPr>
  </w:style>
  <w:style w:type="paragraph" w:styleId="Pealkiri1">
    <w:name w:val="Heading 1"/>
    <w:basedOn w:val="Normal"/>
    <w:link w:val="Pealkiri1Mrk"/>
    <w:qFormat/>
    <w:rsid w:val="002f6d7d"/>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Pealkiri2">
    <w:name w:val="Heading 2"/>
    <w:basedOn w:val="Normal"/>
    <w:link w:val="Pealkiri2Mrk"/>
    <w:uiPriority w:val="9"/>
    <w:semiHidden/>
    <w:unhideWhenUsed/>
    <w:qFormat/>
    <w:rsid w:val="002f6d7d"/>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Pealkiri3">
    <w:name w:val="Heading 3"/>
    <w:basedOn w:val="Normal"/>
    <w:link w:val="Pealkiri3Mrk"/>
    <w:uiPriority w:val="9"/>
    <w:semiHidden/>
    <w:unhideWhenUsed/>
    <w:qFormat/>
    <w:rsid w:val="002f6d7d"/>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Pealkiri4">
    <w:name w:val="Heading 4"/>
    <w:basedOn w:val="Normal"/>
    <w:qFormat/>
    <w:rsid w:val="000c56b0"/>
    <w:pPr>
      <w:keepNext w:val="true"/>
      <w:spacing w:before="240" w:after="60"/>
      <w:outlineLvl w:val="3"/>
    </w:pPr>
    <w:rPr>
      <w:b/>
      <w:bCs/>
      <w:sz w:val="28"/>
      <w:szCs w:val="28"/>
    </w:rPr>
  </w:style>
  <w:style w:type="paragraph" w:styleId="Pealkiri6">
    <w:name w:val="Heading 6"/>
    <w:basedOn w:val="Normal"/>
    <w:qFormat/>
    <w:rsid w:val="0034535b"/>
    <w:pPr>
      <w:spacing w:before="240" w:after="60"/>
      <w:outlineLvl w:val="5"/>
    </w:pPr>
    <w:rPr>
      <w:b/>
      <w:bCs/>
      <w:sz w:val="22"/>
      <w:szCs w:val="22"/>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semiHidden/>
    <w:qFormat/>
    <w:rsid w:val="00b320e1"/>
    <w:rPr>
      <w:sz w:val="16"/>
      <w:szCs w:val="16"/>
    </w:rPr>
  </w:style>
  <w:style w:type="character" w:styleId="Pagenumber">
    <w:name w:val="page number"/>
    <w:basedOn w:val="DefaultParagraphFont"/>
    <w:qFormat/>
    <w:rsid w:val="00ff7f25"/>
    <w:rPr/>
  </w:style>
  <w:style w:type="character" w:styleId="Internetilink">
    <w:name w:val="Internetilink"/>
    <w:basedOn w:val="DefaultParagraphFont"/>
    <w:uiPriority w:val="99"/>
    <w:unhideWhenUsed/>
    <w:rsid w:val="002a1b82"/>
    <w:rPr>
      <w:color w:val="0000FF"/>
      <w:u w:val="single"/>
    </w:rPr>
  </w:style>
  <w:style w:type="character" w:styleId="Pealkiri1Mrk" w:customStyle="1">
    <w:name w:val="Pealkiri 1 Märk"/>
    <w:basedOn w:val="DefaultParagraphFont"/>
    <w:link w:val="Pealkiri1"/>
    <w:qFormat/>
    <w:rsid w:val="002f6d7d"/>
    <w:rPr>
      <w:rFonts w:ascii="Cambria" w:hAnsi="Cambria" w:eastAsia="" w:cs="" w:asciiTheme="majorHAnsi" w:cstheme="majorBidi" w:eastAsiaTheme="majorEastAsia" w:hAnsiTheme="majorHAnsi"/>
      <w:b/>
      <w:bCs/>
      <w:color w:val="365F91" w:themeColor="accent1" w:themeShade="bf"/>
      <w:sz w:val="28"/>
      <w:szCs w:val="28"/>
      <w:lang w:eastAsia="en-US"/>
    </w:rPr>
  </w:style>
  <w:style w:type="character" w:styleId="Pealkiri2Mrk" w:customStyle="1">
    <w:name w:val="Pealkiri 2 Märk"/>
    <w:basedOn w:val="DefaultParagraphFont"/>
    <w:link w:val="Pealkiri2"/>
    <w:uiPriority w:val="9"/>
    <w:semiHidden/>
    <w:qFormat/>
    <w:rsid w:val="002f6d7d"/>
    <w:rPr>
      <w:rFonts w:ascii="Cambria" w:hAnsi="Cambria" w:eastAsia="" w:cs="" w:asciiTheme="majorHAnsi" w:cstheme="majorBidi" w:eastAsiaTheme="majorEastAsia" w:hAnsiTheme="majorHAnsi"/>
      <w:b/>
      <w:bCs/>
      <w:color w:val="4F81BD" w:themeColor="accent1"/>
      <w:sz w:val="26"/>
      <w:szCs w:val="26"/>
      <w:lang w:eastAsia="en-US"/>
    </w:rPr>
  </w:style>
  <w:style w:type="character" w:styleId="Pealkiri3Mrk" w:customStyle="1">
    <w:name w:val="Pealkiri 3 Märk"/>
    <w:basedOn w:val="DefaultParagraphFont"/>
    <w:link w:val="Pealkiri3"/>
    <w:uiPriority w:val="9"/>
    <w:semiHidden/>
    <w:qFormat/>
    <w:rsid w:val="002f6d7d"/>
    <w:rPr>
      <w:rFonts w:ascii="Cambria" w:hAnsi="Cambria" w:eastAsia="" w:cs="" w:asciiTheme="majorHAnsi" w:cstheme="majorBidi" w:eastAsiaTheme="majorEastAsia" w:hAnsiTheme="majorHAnsi"/>
      <w:b/>
      <w:bCs/>
      <w:color w:val="4F81BD" w:themeColor="accent1"/>
      <w:sz w:val="24"/>
      <w:szCs w:val="24"/>
      <w:lang w:eastAsia="en-US"/>
    </w:rPr>
  </w:style>
  <w:style w:type="character" w:styleId="PlaceholderText">
    <w:name w:val="Placeholder Text"/>
    <w:basedOn w:val="DefaultParagraphFont"/>
    <w:uiPriority w:val="99"/>
    <w:semiHidden/>
    <w:qFormat/>
    <w:rsid w:val="001c1bd9"/>
    <w:rPr>
      <w:color w:val="808080"/>
    </w:rPr>
  </w:style>
  <w:style w:type="character" w:styleId="ListLabel1">
    <w:name w:val="ListLabel 1"/>
    <w:qFormat/>
    <w:rPr>
      <w:b/>
      <w:sz w:val="22"/>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b/>
      <w:sz w:val="22"/>
    </w:rPr>
  </w:style>
  <w:style w:type="character" w:styleId="ListLabel6">
    <w:name w:val="ListLabel 6"/>
    <w:qFormat/>
    <w:rPr>
      <w:b/>
      <w:sz w:val="22"/>
    </w:rPr>
  </w:style>
  <w:style w:type="character" w:styleId="ListLabel7">
    <w:name w:val="ListLabel 7"/>
    <w:qFormat/>
    <w:rPr>
      <w:rFonts w:cs="Symbol"/>
      <w:b/>
      <w:sz w:val="22"/>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b/>
      <w:sz w:val="22"/>
    </w:rPr>
  </w:style>
  <w:style w:type="paragraph" w:styleId="Pealkiri">
    <w:name w:val="Pealkiri"/>
    <w:basedOn w:val="Normal"/>
    <w:next w:val="Phitekst"/>
    <w:qFormat/>
    <w:pPr>
      <w:keepNext w:val="true"/>
      <w:spacing w:before="240" w:after="120"/>
    </w:pPr>
    <w:rPr>
      <w:rFonts w:ascii="Liberation Sans" w:hAnsi="Liberation Sans" w:eastAsia="Microsoft YaHei" w:cs="Arial"/>
      <w:sz w:val="28"/>
      <w:szCs w:val="28"/>
    </w:rPr>
  </w:style>
  <w:style w:type="paragraph" w:styleId="Phitekst">
    <w:name w:val="Body Text"/>
    <w:basedOn w:val="Normal"/>
    <w:pPr>
      <w:spacing w:lineRule="auto" w:line="276" w:before="0" w:after="140"/>
    </w:pPr>
    <w:rPr/>
  </w:style>
  <w:style w:type="paragraph" w:styleId="Loend">
    <w:name w:val="List"/>
    <w:basedOn w:val="Phitekst"/>
    <w:pPr/>
    <w:rPr>
      <w:rFonts w:cs="Arial"/>
    </w:rPr>
  </w:style>
  <w:style w:type="paragraph" w:styleId="Pealdis">
    <w:name w:val="Caption"/>
    <w:basedOn w:val="Normal"/>
    <w:qFormat/>
    <w:pPr>
      <w:suppressLineNumbers/>
      <w:spacing w:before="120" w:after="120"/>
    </w:pPr>
    <w:rPr>
      <w:rFonts w:cs="Arial"/>
      <w:i/>
      <w:iCs/>
      <w:sz w:val="24"/>
      <w:szCs w:val="24"/>
    </w:rPr>
  </w:style>
  <w:style w:type="paragraph" w:styleId="Register">
    <w:name w:val="Register"/>
    <w:basedOn w:val="Normal"/>
    <w:qFormat/>
    <w:pPr>
      <w:suppressLineNumbers/>
    </w:pPr>
    <w:rPr>
      <w:rFonts w:cs="Arial"/>
    </w:rPr>
  </w:style>
  <w:style w:type="paragraph" w:styleId="NormalIndent">
    <w:name w:val="Normal Indent"/>
    <w:basedOn w:val="Normal"/>
    <w:qFormat/>
    <w:rsid w:val="0034535b"/>
    <w:pPr>
      <w:spacing w:before="60" w:after="0"/>
      <w:ind w:left="1985" w:hanging="0"/>
    </w:pPr>
    <w:rPr>
      <w:szCs w:val="20"/>
    </w:rPr>
  </w:style>
  <w:style w:type="paragraph" w:styleId="BodyTextIndent2">
    <w:name w:val="Body Text Indent 2"/>
    <w:basedOn w:val="Normal"/>
    <w:qFormat/>
    <w:rsid w:val="00ee6cd9"/>
    <w:pPr>
      <w:tabs>
        <w:tab w:val="left" w:pos="709" w:leader="none"/>
      </w:tabs>
      <w:ind w:left="709" w:hanging="709"/>
    </w:pPr>
    <w:rPr>
      <w:szCs w:val="20"/>
    </w:rPr>
  </w:style>
  <w:style w:type="paragraph" w:styleId="Annotationtext">
    <w:name w:val="annotation text"/>
    <w:basedOn w:val="Normal"/>
    <w:semiHidden/>
    <w:qFormat/>
    <w:rsid w:val="00b320e1"/>
    <w:pPr/>
    <w:rPr>
      <w:sz w:val="20"/>
      <w:szCs w:val="20"/>
    </w:rPr>
  </w:style>
  <w:style w:type="paragraph" w:styleId="Annotationsubject">
    <w:name w:val="annotation subject"/>
    <w:basedOn w:val="Annotationtext"/>
    <w:semiHidden/>
    <w:qFormat/>
    <w:rsid w:val="00b320e1"/>
    <w:pPr/>
    <w:rPr>
      <w:b/>
      <w:bCs/>
    </w:rPr>
  </w:style>
  <w:style w:type="paragraph" w:styleId="BalloonText">
    <w:name w:val="Balloon Text"/>
    <w:basedOn w:val="Normal"/>
    <w:semiHidden/>
    <w:qFormat/>
    <w:rsid w:val="00b320e1"/>
    <w:pPr/>
    <w:rPr>
      <w:rFonts w:ascii="Tahoma" w:hAnsi="Tahoma" w:cs="Tahoma"/>
      <w:sz w:val="16"/>
      <w:szCs w:val="16"/>
    </w:rPr>
  </w:style>
  <w:style w:type="paragraph" w:styleId="Jalus">
    <w:name w:val="Footer"/>
    <w:basedOn w:val="Normal"/>
    <w:rsid w:val="00ff7f25"/>
    <w:pPr>
      <w:tabs>
        <w:tab w:val="center" w:pos="4320" w:leader="none"/>
        <w:tab w:val="right" w:pos="8640" w:leader="none"/>
      </w:tabs>
    </w:pPr>
    <w:rPr/>
  </w:style>
  <w:style w:type="paragraph" w:styleId="Pis">
    <w:name w:val="Header"/>
    <w:basedOn w:val="Normal"/>
    <w:rsid w:val="00ff7f25"/>
    <w:pPr>
      <w:tabs>
        <w:tab w:val="center" w:pos="4320" w:leader="none"/>
        <w:tab w:val="right" w:pos="8640" w:leader="none"/>
      </w:tabs>
    </w:pPr>
    <w:rPr/>
  </w:style>
  <w:style w:type="paragraph" w:styleId="WWNormalIndent" w:customStyle="1">
    <w:name w:val="WW-Normal Indent"/>
    <w:basedOn w:val="Normal"/>
    <w:qFormat/>
    <w:rsid w:val="002a1b82"/>
    <w:pPr>
      <w:suppressAutoHyphens w:val="true"/>
      <w:spacing w:before="60" w:after="0"/>
      <w:ind w:left="1985" w:firstLine="1"/>
    </w:pPr>
    <w:rPr>
      <w:szCs w:val="20"/>
    </w:rPr>
  </w:style>
  <w:style w:type="paragraph" w:styleId="ListParagraph">
    <w:name w:val="List Paragraph"/>
    <w:basedOn w:val="Normal"/>
    <w:uiPriority w:val="34"/>
    <w:qFormat/>
    <w:rsid w:val="002a1b82"/>
    <w:pPr>
      <w:spacing w:before="0" w:after="0"/>
      <w:ind w:left="720" w:hanging="0"/>
      <w:contextualSpacing/>
    </w:pPr>
    <w:rPr/>
  </w:style>
  <w:style w:type="paragraph" w:styleId="NoSpacing">
    <w:name w:val="No Spacing"/>
    <w:uiPriority w:val="1"/>
    <w:qFormat/>
    <w:rsid w:val="002a1b82"/>
    <w:pPr>
      <w:widowControl/>
      <w:bidi w:val="0"/>
      <w:jc w:val="left"/>
    </w:pPr>
    <w:rPr>
      <w:rFonts w:ascii="Calibri" w:hAnsi="Calibri" w:eastAsia="Calibri" w:cs="" w:asciiTheme="minorHAnsi" w:cstheme="minorBidi" w:eastAsiaTheme="minorHAnsi" w:hAnsiTheme="minorHAnsi"/>
      <w:color w:val="auto"/>
      <w:kern w:val="0"/>
      <w:sz w:val="22"/>
      <w:szCs w:val="22"/>
      <w:lang w:val="et-EE" w:eastAsia="en-US" w:bidi="ar-SA"/>
    </w:rPr>
  </w:style>
  <w:style w:type="paragraph" w:styleId="Paneelisisu">
    <w:name w:val="Paneeli sisu"/>
    <w:basedOn w:val="Normal"/>
    <w:qFormat/>
    <w:pPr/>
    <w:rPr/>
  </w:style>
  <w:style w:type="numbering" w:styleId="NoList" w:default="1">
    <w:name w:val="No List"/>
    <w:uiPriority w:val="99"/>
    <w:semiHidden/>
    <w:unhideWhenUsed/>
    <w:qFormat/>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table" w:styleId="Kontuurtabel">
    <w:name w:val="Table Grid"/>
    <w:basedOn w:val="Normaaltabel"/>
    <w:rsid w:val="0034535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rocurementDepartment xmlns="B531D0F3-82B4-4565-99B8-5DA8F917BE36">Ehitusjuhtimisosakond</ProcurementDepartment>
    <ProcurementName xmlns="B531D0F3-82B4-4565-99B8-5DA8F917BE36">Põlva Piiri tn 1 liginullenergiahoone koolimaja ehitustööde omanikujärelevalve teenus</ProcurementName>
    <DueDate xmlns="B531D0F3-82B4-4565-99B8-5DA8F917BE36" xsi:nil="true"/>
    <ProcurementCPVAdditionalCodes xmlns="B531D0F3-82B4-4565-99B8-5DA8F917BE36" xsi:nil="true"/>
    <ProcurementDocument xmlns="B531D0F3-82B4-4565-99B8-5DA8F917BE36">Hankedokumendid (HD lepinguprojekt)</ProcurementDocument>
    <DocumentUrl xmlns="B531D0F3-82B4-4565-99B8-5DA8F917BE36" xsi:nil="true"/>
    <ProcurementObjectSpecification xmlns="B531D0F3-82B4-4565-99B8-5DA8F917BE36">Omanikujärelevalve teenus</ProcurementObjectSpecification>
    <ProcurementContractDate xmlns="B531D0F3-82B4-4565-99B8-5DA8F917BE36" xsi:nil="true"/>
    <ProcurementComissionLawyer xmlns="B531D0F3-82B4-4565-99B8-5DA8F917BE36">Agur Maandi</ProcurementComissionLawyer>
    <ProcurementRegistrationNumber xmlns="B531D0F3-82B4-4565-99B8-5DA8F917BE36" xsi:nil="true"/>
    <ProcurementProvider xmlns="B531D0F3-82B4-4565-99B8-5DA8F917BE36" xsi:nil="true"/>
    <ProcurementEstimatedCost xmlns="B531D0F3-82B4-4565-99B8-5DA8F917BE36" xsi:nil="true"/>
    <Group xmlns="b531d0f3-82b4-4565-99b8-5da8f917be36">Hankedokumendid</Group>
    <ProcurementComissionBoardMember xmlns="B531D0F3-82B4-4565-99B8-5DA8F917BE36">Elari Udam</ProcurementComissionBoardMember>
    <ProcurementComissionRecorder xmlns="B531D0F3-82B4-4565-99B8-5DA8F917BE36">
      <UserInfo>
        <DisplayName>Enely Matvei</DisplayName>
        <AccountId>406</AccountId>
        <AccountType/>
      </UserInfo>
    </ProcurementComissionRecorder>
    <ProcurementChildObjects xmlns="B531D0F3-82B4-4565-99B8-5DA8F917BE36">900414|Põlva Riigigümnaasiumi rajamine</ProcurementChildObjects>
    <ProcurementID xmlns="B531D0F3-82B4-4565-99B8-5DA8F917BE36">5217</ProcurementID>
    <ProcurementProviderSpecification xmlns="B531D0F3-82B4-4565-99B8-5DA8F917BE36">Riik/riigiasutus</ProcurementProviderSpecification>
    <ProcurementProcedureType xmlns="B531D0F3-82B4-4565-99B8-5DA8F917BE36">Avatud menetlus (Siseriiklik)</ProcurementProcedureType>
    <ProcurementComissionChairman xmlns="B531D0F3-82B4-4565-99B8-5DA8F917BE36">
      <UserInfo>
        <DisplayName>Margus Türkson</DisplayName>
        <AccountId>78</AccountId>
        <AccountType/>
      </UserInfo>
    </ProcurementComissionChairman>
    <ProcurementMainProcurement xmlns="B531D0F3-82B4-4565-99B8-5DA8F917BE36" xsi:nil="true"/>
    <ProcurementCPVMainCode xmlns="B531D0F3-82B4-4565-99B8-5DA8F917BE36" xsi:nil="true"/>
    <DocumentSendDate xmlns="B531D0F3-82B4-4565-99B8-5DA8F917BE36" xsi:nil="true"/>
    <ProcurementActualCost xmlns="B531D0F3-82B4-4565-99B8-5DA8F917BE36" xsi:nil="true"/>
    <Status xmlns="B531D0F3-82B4-4565-99B8-5DA8F917BE36">Kooskõlastamisel</Status>
    <StartDate xmlns="B531D0F3-82B4-4565-99B8-5DA8F917BE36">2015-11-25T00:00:00+00:00</StartDate>
    <ProcurementComissionOutsideMembers xmlns="B531D0F3-82B4-4565-99B8-5DA8F917BE36" xsi:nil="true"/>
    <ProcurementResponsiblePerson xmlns="B531D0F3-82B4-4565-99B8-5DA8F917BE36">
      <UserInfo>
        <DisplayName>Sven Saar</DisplayName>
        <AccountId>245</AccountId>
        <AccountType/>
      </UserInfo>
    </ProcurementResponsiblePerson>
    <ProcurementObject xmlns="B531D0F3-82B4-4565-99B8-5DA8F917BE36">Teenused</ProcurementObject>
    <ProcurementComissionDepartment xmlns="B531D0F3-82B4-4565-99B8-5DA8F917BE36">
      <UserInfo>
        <DisplayName>Igor Gerasenkov</DisplayName>
        <AccountId>37</AccountId>
        <AccountType/>
      </UserInfo>
    </ProcurementComissionDepartment>
    <Type xmlns="B531D0F3-82B4-4565-99B8-5DA8F917BE36">Dokument</Type>
    <Department xmlns="b531d0f3-82b4-4565-99b8-5da8f917be36"> Margus Türkson</Department>
    <Providers xmlns="b531d0f3-82b4-4565-99b8-5da8f917be36" xsi:nil="true"/>
    <Contractors xmlns="b531d0f3-82b4-4565-99b8-5da8f917be36">(90008005) UGALA TEATER SA</Contractors>
    <Recorder xmlns="b531d0f3-82b4-4565-99b8-5da8f917be36" xsi:nil="true"/>
    <ChildObjects xmlns="b531d0f3-82b4-4565-99b8-5da8f917be36">(900450) Teater Ugala rekonstrueerimine  </ChildObjects>
    <ChildObjectsCodes xmlns="b531d0f3-82b4-4565-99b8-5da8f917be36">900450</ChildObjectsCodes>
    <ContractorCodes xmlns="b531d0f3-82b4-4565-99b8-5da8f917be36">70000740</ContractorCodes>
    <Ajalised_x0020_andmed xmlns="b531d0f3-82b4-4565-99b8-5da8f917be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curementDocuments" ma:contentTypeID="0x01010E3C894F7D994C179E5C79A4ABA31D31006DEC7E63C145834B9F8124882FB13CC2" ma:contentTypeVersion="" ma:contentTypeDescription="" ma:contentTypeScope="" ma:versionID="67598584c7149134481d477e5ea9868b">
  <xsd:schema xmlns:xsd="http://www.w3.org/2001/XMLSchema" xmlns:p="http://schemas.microsoft.com/office/2006/metadata/properties" xmlns:ns1="B531D0F3-82B4-4565-99B8-5DA8F917BE36" xmlns:ns2="b531d0f3-82b4-4565-99b8-5da8f917be36" targetNamespace="http://schemas.microsoft.com/office/2006/metadata/properties" ma:root="true" ma:fieldsID="155f8745cd72b7d892b7b06e331e5c16" ns1:_="" ns2:_="">
    <xsd:import namespace="B531D0F3-82B4-4565-99B8-5DA8F917BE36"/>
    <xsd:import namespace="b531d0f3-82b4-4565-99b8-5da8f917be36"/>
    <xsd:element name="properties">
      <xsd:complexType>
        <xsd:sequence>
          <xsd:element name="documentManagement">
            <xsd:complexType>
              <xsd:all>
                <xsd:element ref="ns1:ProcurementProviderSpecification" minOccurs="0"/>
                <xsd:element ref="ns1:ProcurementProvider" minOccurs="0"/>
                <xsd:element ref="ns1:ProcurementResponsiblePerson" minOccurs="0"/>
                <xsd:element ref="ns1:ProcurementDepartment" minOccurs="0"/>
                <xsd:element ref="ns1:ProcurementChildObjects" minOccurs="0"/>
                <xsd:element ref="ns1:ProcurementName" minOccurs="0"/>
                <xsd:element ref="ns1:ProcurementObject" minOccurs="0"/>
                <xsd:element ref="ns1:ProcurementObjectSpecification" minOccurs="0"/>
                <xsd:element ref="ns1:ProcurementEstimatedCost" minOccurs="0"/>
                <xsd:element ref="ns1:ProcurementProcedureType" minOccurs="0"/>
                <xsd:element ref="ns1:StartDate" minOccurs="0"/>
                <xsd:element ref="ns1:DueDate" minOccurs="0"/>
                <xsd:element ref="ns1:ProcurementComissionBoardMember" minOccurs="0"/>
                <xsd:element ref="ns1:ProcurementComissionChairman" minOccurs="0"/>
                <xsd:element ref="ns1:ProcurementComissionDepartment" minOccurs="0"/>
                <xsd:element ref="ns1:ProcurementComissionLawyer" minOccurs="0"/>
                <xsd:element ref="ns1:ProcurementComissionRecorder" minOccurs="0"/>
                <xsd:element ref="ns1:ProcurementComissionOutsideMembers" minOccurs="0"/>
                <xsd:element ref="ns1:ProcurementMainProcurement" minOccurs="0"/>
                <xsd:element ref="ns1:ProcurementCPVMainCode" minOccurs="0"/>
                <xsd:element ref="ns1:ProcurementCPVAdditionalCodes" minOccurs="0"/>
                <xsd:element ref="ns1:ProcurementRegistrationNumber" minOccurs="0"/>
                <xsd:element ref="ns1:ProcurementContractDate" minOccurs="0"/>
                <xsd:element ref="ns1:ProcurementActualCost" minOccurs="0"/>
                <xsd:element ref="ns1:ProcurementDocument" minOccurs="0"/>
                <xsd:element ref="ns1:ProcurementID" minOccurs="0"/>
                <xsd:element ref="ns1:Status" minOccurs="0"/>
                <xsd:element ref="ns1:Type" minOccurs="0"/>
                <xsd:element ref="ns1:DocumentUrl" minOccurs="0"/>
                <xsd:element ref="ns1:DocumentSendDate" minOccurs="0"/>
                <xsd:element ref="ns2:Group" minOccurs="0"/>
                <xsd:element ref="ns2:Recorder" minOccurs="0"/>
                <xsd:element ref="ns2:Providers" minOccurs="0"/>
                <xsd:element ref="ns2:Department" minOccurs="0"/>
                <xsd:element ref="ns2:Contractors" minOccurs="0"/>
                <xsd:element ref="ns2:ChildObjects" minOccurs="0"/>
                <xsd:element ref="ns2:ChildObjectsCodes" minOccurs="0"/>
                <xsd:element ref="ns2:ContractorCodes" minOccurs="0"/>
                <xsd:element ref="ns2:Ajalised_x0020_andmed" minOccurs="0"/>
              </xsd:all>
            </xsd:complexType>
          </xsd:element>
        </xsd:sequence>
      </xsd:complexType>
    </xsd:element>
  </xsd:schema>
  <xsd:schema xmlns:xsd="http://www.w3.org/2001/XMLSchema" xmlns:dms="http://schemas.microsoft.com/office/2006/documentManagement/types" targetNamespace="B531D0F3-82B4-4565-99B8-5DA8F917BE36" elementFormDefault="qualified">
    <xsd:import namespace="http://schemas.microsoft.com/office/2006/documentManagement/types"/>
    <xsd:element name="ProcurementProviderSpecification" ma:index="0" nillable="true" ma:displayName="Hankija liik" ma:format="RadioButtons" ma:internalName="ProcurementProviderSpecification">
      <xsd:simpleType>
        <xsd:restriction base="dms:Choice">
          <xsd:enumeration value="Riik/riigiasutus"/>
          <xsd:enumeration value="Kohalik omavalitsus või avalik-õiguslik isik"/>
          <xsd:enumeration value="RKAS, Hooldus Pluss või muu äriühing, MTÜ või SA"/>
          <xsd:enumeration value="Võrgustikusektori hankija"/>
        </xsd:restriction>
      </xsd:simpleType>
    </xsd:element>
    <xsd:element name="ProcurementProvider" ma:index="1" nillable="true" ma:displayName="Hankija" ma:internalName="ProcurementProvider">
      <xsd:simpleType>
        <xsd:union memberTypes="dms:Text">
          <xsd:simpleType>
            <xsd:restriction base="dms:Choice">
              <xsd:enumeration value="Riigi Kinnisvara AS"/>
              <xsd:enumeration value="Hooldus Pluss OÜ"/>
            </xsd:restriction>
          </xsd:simpleType>
        </xsd:union>
      </xsd:simpleType>
    </xsd:element>
    <xsd:element name="ProcurementResponsiblePerson" ma:index="2" nillable="true" ma:displayName="Vastutav isik" ma:internalName="ProcurementResponsibl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urementDepartment" ma:index="3" nillable="true" ma:displayName="Hanget korraldav osakond" ma:internalName="ProcurementDepartment">
      <xsd:simpleType>
        <xsd:restriction base="dms:Text"/>
      </xsd:simpleType>
    </xsd:element>
    <xsd:element name="ProcurementChildObjects" ma:index="4" nillable="true" ma:displayName="Hanke alamobjekt" ma:internalName="ProcurementChildObjects">
      <xsd:simpleType>
        <xsd:restriction base="dms:Note"/>
      </xsd:simpleType>
    </xsd:element>
    <xsd:element name="ProcurementName" ma:index="5" nillable="true" ma:displayName="Hanke nimetus (HD pealkiri)" ma:internalName="ProcurementName">
      <xsd:simpleType>
        <xsd:restriction base="dms:Text"/>
      </xsd:simpleType>
    </xsd:element>
    <xsd:element name="ProcurementObject" ma:index="6" nillable="true" ma:displayName="Hanke objekt" ma:internalName="ProcurementObject">
      <xsd:simpleType>
        <xsd:restriction base="dms:Text"/>
      </xsd:simpleType>
    </xsd:element>
    <xsd:element name="ProcurementObjectSpecification" ma:index="7" nillable="true" ma:displayName="Hanke objekti täpsustus" ma:internalName="ProcurementObjectSpecification">
      <xsd:simpleType>
        <xsd:restriction base="dms:Text"/>
      </xsd:simpleType>
    </xsd:element>
    <xsd:element name="ProcurementEstimatedCost" ma:index="8" nillable="true" ma:displayName="Hanke eeldatav maksumus" ma:LCID="-2" ma:internalName="ProcurementEstimatedCost">
      <xsd:simpleType>
        <xsd:restriction base="dms:Currency"/>
      </xsd:simpleType>
    </xsd:element>
    <xsd:element name="ProcurementProcedureType" ma:index="9" nillable="true" ma:displayName="Hanke menetlusliik" ma:internalName="ProcurementProcedureType">
      <xsd:simpleType>
        <xsd:restriction base="dms:Text"/>
      </xsd:simpleType>
    </xsd:element>
    <xsd:element name="StartDate" ma:index="10" nillable="true" ma:displayName="HD koostamise alguskuupäev" ma:format="DateOnly" ma:internalName="StartDate">
      <xsd:simpleType>
        <xsd:restriction base="dms:DateTime"/>
      </xsd:simpleType>
    </xsd:element>
    <xsd:element name="DueDate" ma:index="11" nillable="true" ma:displayName="Hankelepingu sõlmimise tähtaeg" ma:format="DateOnly" ma:internalName="DueDate">
      <xsd:simpleType>
        <xsd:restriction base="dms:DateTime"/>
      </xsd:simpleType>
    </xsd:element>
    <xsd:element name="ProcurementComissionBoardMember" ma:index="12" nillable="true" ma:displayName="Juhatuse liige" ma:internalName="ProcurementComissionBoardMember">
      <xsd:simpleType>
        <xsd:restriction base="dms:Text"/>
      </xsd:simpleType>
    </xsd:element>
    <xsd:element name="ProcurementComissionChairman" ma:index="13" nillable="true" ma:displayName="Hankekomisjoni esimees" ma:internalName="ProcurementComissionChairm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urementComissionDepartment" ma:index="14" nillable="true" ma:displayName="Osakonnajuhataja või projektidirektor" ma:internalName="ProcurementComissionDepartmen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urementComissionLawyer" ma:index="15" nillable="true" ma:displayName="Hankekomisjoni jurist" ma:internalName="ProcurementComissionLawyer">
      <xsd:simpleType>
        <xsd:restriction base="dms:Text"/>
      </xsd:simpleType>
    </xsd:element>
    <xsd:element name="ProcurementComissionRecorder" ma:index="16" nillable="true" ma:displayName="Protokollija" ma:internalName="ProcurementComissionRecord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urementComissionOutsideMembers" ma:index="17" nillable="true" ma:displayName="Hankekomisjoni liikmed väljastpoolt RKASi" ma:internalName="ProcurementComissionOutsideMembers">
      <xsd:simpleType>
        <xsd:restriction base="dms:Note"/>
      </xsd:simpleType>
    </xsd:element>
    <xsd:element name="ProcurementMainProcurement" ma:index="18" nillable="true" ma:displayName="Raamleping, millega hange on seotud" ma:internalName="ProcurementMainProcurement">
      <xsd:simpleType>
        <xsd:restriction base="dms:Text"/>
      </xsd:simpleType>
    </xsd:element>
    <xsd:element name="ProcurementCPVMainCode" ma:index="19" nillable="true" ma:displayName="CPV põhikood" ma:internalName="ProcurementCPVMainCode">
      <xsd:simpleType>
        <xsd:restriction base="dms:Text"/>
      </xsd:simpleType>
    </xsd:element>
    <xsd:element name="ProcurementCPVAdditionalCodes" ma:index="20" nillable="true" ma:displayName="CPV lisakoodid" ma:internalName="ProcurementCPVAdditionalCodes">
      <xsd:simpleType>
        <xsd:restriction base="dms:Text"/>
      </xsd:simpleType>
    </xsd:element>
    <xsd:element name="ProcurementRegistrationNumber" ma:index="21" nillable="true" ma:displayName="Riigihanke registreerimisnumber" ma:internalName="ProcurementRegistrationNumber">
      <xsd:simpleType>
        <xsd:restriction base="dms:Text"/>
      </xsd:simpleType>
    </xsd:element>
    <xsd:element name="ProcurementContractDate" ma:index="22" nillable="true" ma:displayName="Hankelepingu sõlmimise kuupäev" ma:format="DateOnly" ma:internalName="ProcurementContractDate">
      <xsd:simpleType>
        <xsd:restriction base="dms:DateTime"/>
      </xsd:simpleType>
    </xsd:element>
    <xsd:element name="ProcurementActualCost" ma:index="23" nillable="true" ma:displayName="Hankelepingu tegelik maksumus" ma:LCID="-2" ma:internalName="ProcurementActualCost">
      <xsd:simpleType>
        <xsd:restriction base="dms:Currency"/>
      </xsd:simpleType>
    </xsd:element>
    <xsd:element name="ProcurementDocument" ma:index="24" nillable="true" ma:displayName="Dokumendi liik" ma:internalName="ProcurementDocument">
      <xsd:simpleType>
        <xsd:restriction base="dms:Text"/>
      </xsd:simpleType>
    </xsd:element>
    <xsd:element name="ProcurementID" ma:index="25" nillable="true" ma:displayName="Hanke ID" ma:internalName="ProcurementID">
      <xsd:simpleType>
        <xsd:restriction base="dms:Text"/>
      </xsd:simpleType>
    </xsd:element>
    <xsd:element name="Status" ma:index="26" nillable="true" ma:displayName="Dokumendi staatus" ma:internalName="Status">
      <xsd:simpleType>
        <xsd:restriction base="dms:Choice">
          <xsd:enumeration value="Kooskõlastamisel"/>
          <xsd:enumeration value="Kooskõlastatud"/>
          <xsd:enumeration value="Allkirjastamisel"/>
          <xsd:enumeration value="Allkirjastatud"/>
          <xsd:enumeration value="Koostamisel"/>
          <xsd:enumeration value="Arhiiv"/>
        </xsd:restriction>
      </xsd:simpleType>
    </xsd:element>
    <xsd:element name="Type" ma:index="27" nillable="true" ma:displayName="Tüüp" ma:internalName="Type">
      <xsd:simpleType>
        <xsd:restriction base="dms:Text"/>
      </xsd:simpleType>
    </xsd:element>
    <xsd:element name="DocumentUrl" ma:index="28" nillable="true" ma:displayName="Dokument avalikus veebis" ma:internalName="DocumentUrl">
      <xsd:simpleType>
        <xsd:restriction base="dms:Text"/>
      </xsd:simpleType>
    </xsd:element>
    <xsd:element name="DocumentSendDate" ma:index="29" nillable="true" ma:displayName="Dokumendi avalikku veebi saatmise kuupäev" ma:internalName="DocumentSendDate">
      <xsd:simpleType>
        <xsd:restriction base="dms:DateTime"/>
      </xsd:simpleType>
    </xsd:element>
  </xsd:schema>
  <xsd:schema xmlns:xsd="http://www.w3.org/2001/XMLSchema" xmlns:dms="http://schemas.microsoft.com/office/2006/documentManagement/types" targetNamespace="b531d0f3-82b4-4565-99b8-5da8f917be36" elementFormDefault="qualified">
    <xsd:import namespace="http://schemas.microsoft.com/office/2006/documentManagement/types"/>
    <xsd:element name="Group" ma:index="30" nillable="true" ma:displayName="Rühm" ma:internalName="Group">
      <xsd:simpleType>
        <xsd:restriction base="dms:Text">
          <xsd:maxLength value="255"/>
        </xsd:restriction>
      </xsd:simpleType>
    </xsd:element>
    <xsd:element name="Recorder" ma:index="31" nillable="true" ma:displayName="Protokollija tekstina" ma:internalName="Recorder">
      <xsd:simpleType>
        <xsd:restriction base="dms:Text">
          <xsd:maxLength value="255"/>
        </xsd:restriction>
      </xsd:simpleType>
    </xsd:element>
    <xsd:element name="Providers" ma:index="32" nillable="true" ma:displayName="Pakkujad" ma:internalName="Providers">
      <xsd:simpleType>
        <xsd:restriction base="dms:Note"/>
      </xsd:simpleType>
    </xsd:element>
    <xsd:element name="Department" ma:index="33" nillable="true" ma:displayName="Osakonnajuhataja tekstina" ma:internalName="Department">
      <xsd:simpleType>
        <xsd:restriction base="dms:Text">
          <xsd:maxLength value="255"/>
        </xsd:restriction>
      </xsd:simpleType>
    </xsd:element>
    <xsd:element name="Contractors" ma:index="34" nillable="true" ma:displayName="Hankijad" ma:internalName="Contractors">
      <xsd:simpleType>
        <xsd:restriction base="dms:Text">
          <xsd:maxLength value="255"/>
        </xsd:restriction>
      </xsd:simpleType>
    </xsd:element>
    <xsd:element name="ChildObjects" ma:index="35" nillable="true" ma:displayName="Alamobjektid" ma:internalName="ChildObjects">
      <xsd:simpleType>
        <xsd:restriction base="dms:Note"/>
      </xsd:simpleType>
    </xsd:element>
    <xsd:element name="ChildObjectsCodes" ma:index="36" nillable="true" ma:displayName="Alamobjektide koodid" ma:internalName="ChildObjectsCodes">
      <xsd:simpleType>
        <xsd:restriction base="dms:Note"/>
      </xsd:simpleType>
    </xsd:element>
    <xsd:element name="ContractorCodes" ma:index="37" nillable="true" ma:displayName="Hankijate registrikoodid" ma:internalName="ContractorCodes">
      <xsd:simpleType>
        <xsd:restriction base="dms:Note"/>
      </xsd:simpleType>
    </xsd:element>
    <xsd:element name="Ajalised_x0020_andmed" ma:index="38" nillable="true" ma:displayName="Ajalised andmed" ma:format="DateOnly" ma:internalName="Ajalised_x0020_andm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6451A-A5AE-452C-BD15-BF2DEE226C94}">
  <ds:schemaRefs>
    <ds:schemaRef ds:uri="http://purl.org/dc/terms/"/>
    <ds:schemaRef ds:uri="http://schemas.openxmlformats.org/package/2006/metadata/core-properties"/>
    <ds:schemaRef ds:uri="http://schemas.microsoft.com/office/2006/documentManagement/types"/>
    <ds:schemaRef ds:uri="B531D0F3-82B4-4565-99B8-5DA8F917BE36"/>
    <ds:schemaRef ds:uri="http://purl.org/dc/dcmitype/"/>
    <ds:schemaRef ds:uri="http://purl.org/dc/elements/1.1/"/>
    <ds:schemaRef ds:uri="http://schemas.microsoft.com/office/2006/metadata/properties"/>
    <ds:schemaRef ds:uri="b531d0f3-82b4-4565-99b8-5da8f917be36"/>
    <ds:schemaRef ds:uri="http://www.w3.org/XML/1998/namespace"/>
  </ds:schemaRefs>
</ds:datastoreItem>
</file>

<file path=customXml/itemProps2.xml><?xml version="1.0" encoding="utf-8"?>
<ds:datastoreItem xmlns:ds="http://schemas.openxmlformats.org/officeDocument/2006/customXml" ds:itemID="{429D911D-0928-4BE1-A089-B26E7803E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1D0F3-82B4-4565-99B8-5DA8F917BE36"/>
    <ds:schemaRef ds:uri="b531d0f3-82b4-4565-99b8-5da8f917be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6F3C7DC-1672-4F78-A880-9817B007105E}">
  <ds:schemaRefs>
    <ds:schemaRef ds:uri="http://schemas.microsoft.com/office/2006/metadata/longProperties"/>
  </ds:schemaRefs>
</ds:datastoreItem>
</file>

<file path=customXml/itemProps4.xml><?xml version="1.0" encoding="utf-8"?>
<ds:datastoreItem xmlns:ds="http://schemas.openxmlformats.org/officeDocument/2006/customXml" ds:itemID="{D3761BAC-4438-4388-A93E-E07EB7A3D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LibreOffice/6.0.5.2$Windows_X86_64 LibreOffice_project/54c8cbb85f300ac59db32fe8a675ff7683cd5a16</Application>
  <Pages>11</Pages>
  <Words>3319</Words>
  <Characters>26113</Characters>
  <CharactersWithSpaces>29162</CharactersWithSpaces>
  <Paragraphs>199</Paragraphs>
  <Company>Riigi Kinnisvara 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2019-01-13T20:50:00Z</dcterms:created>
  <dc:creator>alop</dc:creator>
  <dc:description/>
  <dc:language>et-EE</dc:language>
  <cp:lastModifiedBy/>
  <dcterms:modified xsi:type="dcterms:W3CDTF">2019-01-21T11:22:40Z</dcterms:modified>
  <cp:revision>4</cp:revision>
  <dc:subject/>
  <dc:title>Teenusleping-Omanikujärelevalve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Riigi Kinnisvara AS</vt:lpwstr>
  </property>
  <property fmtid="{D5CDD505-2E9C-101B-9397-08002B2CF9AE}" pid="4" name="ContentType">
    <vt:lpwstr>Dokument</vt:lpwstr>
  </property>
  <property fmtid="{D5CDD505-2E9C-101B-9397-08002B2CF9AE}" pid="5" name="ContentTypeId">
    <vt:lpwstr>0x01010E3C894F7D994C179E5C79A4ABA31D31006DEC7E63C145834B9F8124882FB13CC2</vt:lpwstr>
  </property>
  <property fmtid="{D5CDD505-2E9C-101B-9397-08002B2CF9AE}" pid="6" name="DocSecurity">
    <vt:i4>0</vt:i4>
  </property>
  <property fmtid="{D5CDD505-2E9C-101B-9397-08002B2CF9AE}" pid="7" name="Dokumendi haldur">
    <vt:lpwstr>Õigus-ja hankeosakonna juhataja</vt:lpwstr>
  </property>
  <property fmtid="{D5CDD505-2E9C-101B-9397-08002B2CF9AE}" pid="8" name="Dokumendi liik">
    <vt:lpwstr>Vorm</vt:lpwstr>
  </property>
  <property fmtid="{D5CDD505-2E9C-101B-9397-08002B2CF9AE}" pid="9" name="HyperlinksChanged">
    <vt:bool>0</vt:bool>
  </property>
  <property fmtid="{D5CDD505-2E9C-101B-9397-08002B2CF9AE}" pid="10" name="Kinnitatud">
    <vt:lpwstr>2007-07-05T21:00:00+00:00</vt:lpwstr>
  </property>
  <property fmtid="{D5CDD505-2E9C-101B-9397-08002B2CF9AE}" pid="11" name="LinksUpToDate">
    <vt:bool>0</vt:bool>
  </property>
  <property fmtid="{D5CDD505-2E9C-101B-9397-08002B2CF9AE}" pid="12" name="ScaleCrop">
    <vt:bool>0</vt:bool>
  </property>
  <property fmtid="{D5CDD505-2E9C-101B-9397-08002B2CF9AE}" pid="13" name="ShareDoc">
    <vt:bool>0</vt:bool>
  </property>
  <property fmtid="{D5CDD505-2E9C-101B-9397-08002B2CF9AE}" pid="14" name="T?his">
    <vt:lpwstr>V Rju 27</vt:lpwstr>
  </property>
  <property fmtid="{D5CDD505-2E9C-101B-9397-08002B2CF9AE}" pid="15" name="Valdkond">
    <vt:lpwstr>Riigihangete korraldamine</vt:lpwstr>
  </property>
</Properties>
</file>